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8BD09" w14:textId="2088F1AC" w:rsidR="009E06E7" w:rsidRDefault="00057655">
      <w:pPr>
        <w:rPr>
          <w:b/>
          <w:sz w:val="36"/>
          <w:szCs w:val="36"/>
        </w:rPr>
      </w:pPr>
      <w:r>
        <w:rPr>
          <w:b/>
          <w:sz w:val="36"/>
          <w:szCs w:val="36"/>
        </w:rPr>
        <w:t>2018</w:t>
      </w:r>
      <w:r w:rsidR="00496659" w:rsidRPr="00496659">
        <w:rPr>
          <w:b/>
          <w:sz w:val="36"/>
          <w:szCs w:val="36"/>
        </w:rPr>
        <w:t xml:space="preserve"> State Housing Legislation</w:t>
      </w:r>
      <w:r w:rsidR="007912A0">
        <w:rPr>
          <w:b/>
          <w:sz w:val="36"/>
          <w:szCs w:val="36"/>
        </w:rPr>
        <w:t xml:space="preserve"> (as of </w:t>
      </w:r>
      <w:r w:rsidR="00B13DA7">
        <w:rPr>
          <w:b/>
          <w:sz w:val="36"/>
          <w:szCs w:val="36"/>
        </w:rPr>
        <w:t xml:space="preserve">May </w:t>
      </w:r>
      <w:r w:rsidR="007D0CAA">
        <w:rPr>
          <w:b/>
          <w:sz w:val="36"/>
          <w:szCs w:val="36"/>
        </w:rPr>
        <w:t>17</w:t>
      </w:r>
      <w:r w:rsidR="007912A0">
        <w:rPr>
          <w:b/>
          <w:sz w:val="36"/>
          <w:szCs w:val="36"/>
        </w:rPr>
        <w:t>, 201</w:t>
      </w:r>
      <w:r>
        <w:rPr>
          <w:b/>
          <w:sz w:val="36"/>
          <w:szCs w:val="36"/>
        </w:rPr>
        <w:t>8</w:t>
      </w:r>
      <w:r w:rsidR="007912A0">
        <w:rPr>
          <w:b/>
          <w:sz w:val="36"/>
          <w:szCs w:val="36"/>
        </w:rPr>
        <w:t>)</w:t>
      </w:r>
      <w:r w:rsidR="009104ED">
        <w:rPr>
          <w:b/>
          <w:sz w:val="36"/>
          <w:szCs w:val="36"/>
        </w:rPr>
        <w:t xml:space="preserve">   </w:t>
      </w:r>
    </w:p>
    <w:p w14:paraId="0A28E0D5" w14:textId="77777777" w:rsidR="00496659" w:rsidRDefault="00496659">
      <w:pPr>
        <w:rPr>
          <w:b/>
          <w:sz w:val="24"/>
          <w:szCs w:val="24"/>
        </w:rPr>
      </w:pPr>
    </w:p>
    <w:tbl>
      <w:tblPr>
        <w:tblStyle w:val="TableGrid"/>
        <w:tblW w:w="14575" w:type="dxa"/>
        <w:tblLook w:val="0620" w:firstRow="1" w:lastRow="0" w:firstColumn="0" w:lastColumn="0" w:noHBand="1" w:noVBand="1"/>
      </w:tblPr>
      <w:tblGrid>
        <w:gridCol w:w="1516"/>
        <w:gridCol w:w="1838"/>
        <w:gridCol w:w="3754"/>
        <w:gridCol w:w="4752"/>
        <w:gridCol w:w="2715"/>
      </w:tblGrid>
      <w:tr w:rsidR="003D08F4" w14:paraId="5185F194" w14:textId="77777777" w:rsidTr="00892ECC">
        <w:trPr>
          <w:cantSplit/>
          <w:tblHeader/>
        </w:trPr>
        <w:tc>
          <w:tcPr>
            <w:tcW w:w="1516" w:type="dxa"/>
            <w:shd w:val="clear" w:color="auto" w:fill="D9D9D9" w:themeFill="background1" w:themeFillShade="D9"/>
          </w:tcPr>
          <w:p w14:paraId="2875F76A" w14:textId="77777777" w:rsidR="003D08F4" w:rsidRPr="00CC628A" w:rsidRDefault="003D08F4">
            <w:pPr>
              <w:rPr>
                <w:b/>
                <w:sz w:val="24"/>
                <w:szCs w:val="24"/>
              </w:rPr>
            </w:pPr>
            <w:r w:rsidRPr="00CC628A">
              <w:rPr>
                <w:b/>
                <w:sz w:val="24"/>
                <w:szCs w:val="24"/>
              </w:rPr>
              <w:t>Bill Number</w:t>
            </w:r>
          </w:p>
        </w:tc>
        <w:tc>
          <w:tcPr>
            <w:tcW w:w="1838" w:type="dxa"/>
            <w:shd w:val="clear" w:color="auto" w:fill="D9D9D9" w:themeFill="background1" w:themeFillShade="D9"/>
          </w:tcPr>
          <w:p w14:paraId="50A15D32" w14:textId="77777777" w:rsidR="003D08F4" w:rsidRDefault="003D08F4">
            <w:pPr>
              <w:rPr>
                <w:b/>
                <w:sz w:val="24"/>
                <w:szCs w:val="24"/>
              </w:rPr>
            </w:pPr>
            <w:r>
              <w:rPr>
                <w:b/>
                <w:sz w:val="24"/>
                <w:szCs w:val="24"/>
              </w:rPr>
              <w:t xml:space="preserve"> Sponsor(s)</w:t>
            </w:r>
          </w:p>
        </w:tc>
        <w:tc>
          <w:tcPr>
            <w:tcW w:w="3754" w:type="dxa"/>
            <w:shd w:val="clear" w:color="auto" w:fill="D9D9D9" w:themeFill="background1" w:themeFillShade="D9"/>
          </w:tcPr>
          <w:p w14:paraId="59813023" w14:textId="77777777" w:rsidR="003D08F4" w:rsidRPr="00CC628A" w:rsidRDefault="003D08F4">
            <w:pPr>
              <w:rPr>
                <w:b/>
                <w:sz w:val="24"/>
                <w:szCs w:val="24"/>
              </w:rPr>
            </w:pPr>
            <w:r w:rsidRPr="00CC628A">
              <w:rPr>
                <w:b/>
                <w:sz w:val="24"/>
                <w:szCs w:val="24"/>
              </w:rPr>
              <w:t>Title/Topic</w:t>
            </w:r>
          </w:p>
        </w:tc>
        <w:tc>
          <w:tcPr>
            <w:tcW w:w="4752" w:type="dxa"/>
            <w:shd w:val="clear" w:color="auto" w:fill="D9D9D9" w:themeFill="background1" w:themeFillShade="D9"/>
          </w:tcPr>
          <w:p w14:paraId="4C209AE9" w14:textId="77777777" w:rsidR="003D08F4" w:rsidRDefault="003D08F4">
            <w:pPr>
              <w:rPr>
                <w:b/>
                <w:sz w:val="24"/>
                <w:szCs w:val="24"/>
              </w:rPr>
            </w:pPr>
            <w:r>
              <w:rPr>
                <w:b/>
                <w:sz w:val="24"/>
                <w:szCs w:val="24"/>
              </w:rPr>
              <w:t>Summary and Comments</w:t>
            </w:r>
          </w:p>
        </w:tc>
        <w:tc>
          <w:tcPr>
            <w:tcW w:w="2715" w:type="dxa"/>
            <w:shd w:val="clear" w:color="auto" w:fill="D9D9D9" w:themeFill="background1" w:themeFillShade="D9"/>
          </w:tcPr>
          <w:p w14:paraId="19E3C193" w14:textId="77777777" w:rsidR="003D08F4" w:rsidRDefault="003D08F4">
            <w:pPr>
              <w:rPr>
                <w:b/>
                <w:sz w:val="24"/>
                <w:szCs w:val="24"/>
              </w:rPr>
            </w:pPr>
            <w:r>
              <w:rPr>
                <w:b/>
                <w:sz w:val="24"/>
                <w:szCs w:val="24"/>
              </w:rPr>
              <w:t>Recommendation/Status</w:t>
            </w:r>
          </w:p>
        </w:tc>
      </w:tr>
      <w:tr w:rsidR="003D08F4" w:rsidRPr="00CA07B5" w14:paraId="3A2306B3" w14:textId="77777777" w:rsidTr="00892ECC">
        <w:trPr>
          <w:cantSplit/>
        </w:trPr>
        <w:tc>
          <w:tcPr>
            <w:tcW w:w="1516" w:type="dxa"/>
            <w:shd w:val="clear" w:color="auto" w:fill="FFFF00"/>
          </w:tcPr>
          <w:p w14:paraId="1A91980E" w14:textId="77777777" w:rsidR="003D08F4" w:rsidRPr="00CC628A" w:rsidRDefault="003D08F4" w:rsidP="009D09F1">
            <w:pPr>
              <w:rPr>
                <w:b/>
                <w:sz w:val="24"/>
                <w:szCs w:val="24"/>
              </w:rPr>
            </w:pPr>
            <w:r w:rsidRPr="00CC628A">
              <w:rPr>
                <w:b/>
                <w:sz w:val="24"/>
                <w:szCs w:val="24"/>
              </w:rPr>
              <w:t>AB 1506</w:t>
            </w:r>
          </w:p>
        </w:tc>
        <w:tc>
          <w:tcPr>
            <w:tcW w:w="1838" w:type="dxa"/>
            <w:shd w:val="clear" w:color="auto" w:fill="FFFF00"/>
          </w:tcPr>
          <w:p w14:paraId="5E830A08" w14:textId="77777777" w:rsidR="003D08F4" w:rsidRPr="00CA07B5" w:rsidRDefault="003D08F4" w:rsidP="009D09F1">
            <w:pPr>
              <w:rPr>
                <w:sz w:val="24"/>
                <w:szCs w:val="24"/>
              </w:rPr>
            </w:pPr>
            <w:r>
              <w:rPr>
                <w:sz w:val="24"/>
                <w:szCs w:val="24"/>
              </w:rPr>
              <w:t>Chiu</w:t>
            </w:r>
          </w:p>
        </w:tc>
        <w:tc>
          <w:tcPr>
            <w:tcW w:w="3754" w:type="dxa"/>
            <w:shd w:val="clear" w:color="auto" w:fill="FFFF00"/>
          </w:tcPr>
          <w:p w14:paraId="6424B08B" w14:textId="77777777" w:rsidR="003D08F4" w:rsidRPr="00CC628A" w:rsidRDefault="003D08F4" w:rsidP="009D09F1">
            <w:pPr>
              <w:rPr>
                <w:b/>
                <w:sz w:val="24"/>
                <w:szCs w:val="24"/>
              </w:rPr>
            </w:pPr>
            <w:r w:rsidRPr="00CC628A">
              <w:rPr>
                <w:b/>
                <w:sz w:val="24"/>
                <w:szCs w:val="24"/>
              </w:rPr>
              <w:t>Costa-Hawkins Repeal</w:t>
            </w:r>
          </w:p>
        </w:tc>
        <w:tc>
          <w:tcPr>
            <w:tcW w:w="4752" w:type="dxa"/>
            <w:shd w:val="clear" w:color="auto" w:fill="FFFF00"/>
          </w:tcPr>
          <w:p w14:paraId="6E95A3F4" w14:textId="77777777" w:rsidR="003D08F4" w:rsidRPr="00CA07B5" w:rsidRDefault="003D08F4" w:rsidP="009D09F1">
            <w:pPr>
              <w:rPr>
                <w:sz w:val="24"/>
                <w:szCs w:val="24"/>
              </w:rPr>
            </w:pPr>
            <w:r>
              <w:rPr>
                <w:sz w:val="24"/>
                <w:szCs w:val="24"/>
              </w:rPr>
              <w:t>Would fully repeal the Costa-Hawkins act that limits local authority to enact rent control.  Would permit rent control on single family homes, vacant units, and new construction.</w:t>
            </w:r>
          </w:p>
        </w:tc>
        <w:tc>
          <w:tcPr>
            <w:tcW w:w="2715" w:type="dxa"/>
            <w:shd w:val="clear" w:color="auto" w:fill="FFFF00"/>
          </w:tcPr>
          <w:p w14:paraId="7DBFB136" w14:textId="77777777" w:rsidR="003D08F4" w:rsidRPr="00CA07B5" w:rsidRDefault="003D08F4" w:rsidP="009D09F1">
            <w:pPr>
              <w:rPr>
                <w:b/>
                <w:sz w:val="24"/>
                <w:szCs w:val="24"/>
              </w:rPr>
            </w:pPr>
            <w:r w:rsidRPr="00CA07B5">
              <w:rPr>
                <w:b/>
                <w:sz w:val="24"/>
                <w:szCs w:val="24"/>
              </w:rPr>
              <w:t xml:space="preserve">EBHO </w:t>
            </w:r>
            <w:r>
              <w:rPr>
                <w:b/>
                <w:sz w:val="24"/>
                <w:szCs w:val="24"/>
              </w:rPr>
              <w:t>Supports</w:t>
            </w:r>
          </w:p>
          <w:p w14:paraId="3DFE6246" w14:textId="77777777" w:rsidR="003D08F4" w:rsidRPr="00CA07B5" w:rsidRDefault="003D08F4" w:rsidP="009D09F1">
            <w:pPr>
              <w:rPr>
                <w:sz w:val="24"/>
                <w:szCs w:val="24"/>
              </w:rPr>
            </w:pPr>
            <w:r>
              <w:rPr>
                <w:sz w:val="24"/>
                <w:szCs w:val="24"/>
              </w:rPr>
              <w:t>High</w:t>
            </w:r>
            <w:r w:rsidRPr="00CA07B5">
              <w:rPr>
                <w:sz w:val="24"/>
                <w:szCs w:val="24"/>
              </w:rPr>
              <w:t xml:space="preserve"> Priority</w:t>
            </w:r>
          </w:p>
          <w:p w14:paraId="630CE26E" w14:textId="77777777" w:rsidR="003D08F4" w:rsidRDefault="003D08F4" w:rsidP="008B1B68">
            <w:pPr>
              <w:rPr>
                <w:sz w:val="24"/>
                <w:szCs w:val="24"/>
                <w:u w:val="single"/>
              </w:rPr>
            </w:pPr>
          </w:p>
          <w:p w14:paraId="00578F59" w14:textId="77777777" w:rsidR="003D08F4" w:rsidRPr="00F8703B" w:rsidRDefault="003D08F4" w:rsidP="008B1B68">
            <w:pPr>
              <w:rPr>
                <w:b/>
                <w:i/>
                <w:sz w:val="24"/>
                <w:szCs w:val="24"/>
              </w:rPr>
            </w:pPr>
            <w:r w:rsidRPr="00F8703B">
              <w:rPr>
                <w:b/>
                <w:i/>
                <w:sz w:val="24"/>
                <w:szCs w:val="24"/>
              </w:rPr>
              <w:t>Failed in Committee</w:t>
            </w:r>
          </w:p>
        </w:tc>
      </w:tr>
      <w:tr w:rsidR="003D08F4" w:rsidRPr="00CA07B5" w14:paraId="2C589C0E" w14:textId="77777777" w:rsidTr="00892ECC">
        <w:trPr>
          <w:cantSplit/>
        </w:trPr>
        <w:tc>
          <w:tcPr>
            <w:tcW w:w="1516" w:type="dxa"/>
          </w:tcPr>
          <w:p w14:paraId="6CC4D1CD" w14:textId="77777777" w:rsidR="003D08F4" w:rsidRPr="00CC628A" w:rsidRDefault="003D08F4">
            <w:pPr>
              <w:rPr>
                <w:b/>
                <w:sz w:val="24"/>
                <w:szCs w:val="24"/>
              </w:rPr>
            </w:pPr>
            <w:r w:rsidRPr="00CC628A">
              <w:rPr>
                <w:b/>
                <w:sz w:val="24"/>
                <w:szCs w:val="24"/>
              </w:rPr>
              <w:t>AB 1771</w:t>
            </w:r>
          </w:p>
        </w:tc>
        <w:tc>
          <w:tcPr>
            <w:tcW w:w="1838" w:type="dxa"/>
          </w:tcPr>
          <w:p w14:paraId="55B1865B" w14:textId="77777777" w:rsidR="003D08F4" w:rsidRPr="00CA07B5" w:rsidRDefault="003D08F4">
            <w:pPr>
              <w:rPr>
                <w:sz w:val="24"/>
                <w:szCs w:val="24"/>
              </w:rPr>
            </w:pPr>
            <w:r>
              <w:rPr>
                <w:sz w:val="24"/>
                <w:szCs w:val="24"/>
              </w:rPr>
              <w:t>Bloom</w:t>
            </w:r>
          </w:p>
        </w:tc>
        <w:tc>
          <w:tcPr>
            <w:tcW w:w="3754" w:type="dxa"/>
          </w:tcPr>
          <w:p w14:paraId="167C25A8" w14:textId="77777777" w:rsidR="003D08F4" w:rsidRPr="00CC628A" w:rsidRDefault="003D08F4">
            <w:pPr>
              <w:rPr>
                <w:b/>
                <w:sz w:val="24"/>
                <w:szCs w:val="24"/>
              </w:rPr>
            </w:pPr>
            <w:r w:rsidRPr="00CC628A">
              <w:rPr>
                <w:b/>
                <w:sz w:val="24"/>
                <w:szCs w:val="24"/>
              </w:rPr>
              <w:t>RHNA</w:t>
            </w:r>
          </w:p>
        </w:tc>
        <w:tc>
          <w:tcPr>
            <w:tcW w:w="4752" w:type="dxa"/>
          </w:tcPr>
          <w:p w14:paraId="33BD5448" w14:textId="77777777" w:rsidR="003D08F4" w:rsidRPr="00CA07B5" w:rsidRDefault="003D08F4" w:rsidP="00F8703B">
            <w:pPr>
              <w:rPr>
                <w:sz w:val="24"/>
                <w:szCs w:val="24"/>
              </w:rPr>
            </w:pPr>
            <w:r>
              <w:rPr>
                <w:sz w:val="24"/>
                <w:szCs w:val="24"/>
              </w:rPr>
              <w:t xml:space="preserve">WCLP sponsored.   Requires that actions taken for RHNA </w:t>
            </w:r>
            <w:r w:rsidRPr="00F50E39">
              <w:rPr>
                <w:sz w:val="24"/>
                <w:szCs w:val="24"/>
                <w:u w:val="single"/>
              </w:rPr>
              <w:t>further</w:t>
            </w:r>
            <w:r>
              <w:rPr>
                <w:sz w:val="24"/>
                <w:szCs w:val="24"/>
              </w:rPr>
              <w:t xml:space="preserve"> (as opposed to “are consistent with”) the objectives of Housing Element Law.   Requires more public hearings.  COGs would have to provide explanation of how the adopted methodology would further RHNA goals.   RHNA methodology must include new factors: rate of overcrowding and overpayment, existing and projected demand at various levels, jobs/housing fit, fair housing, etc.   HCD must review methodology to ensure that RHNA plan is actually consistent with objectives.  Establishes a process to appeal the RHNA.</w:t>
            </w:r>
          </w:p>
        </w:tc>
        <w:tc>
          <w:tcPr>
            <w:tcW w:w="2715" w:type="dxa"/>
          </w:tcPr>
          <w:p w14:paraId="0157151E" w14:textId="77777777" w:rsidR="003D08F4" w:rsidRPr="00D91C0A" w:rsidRDefault="003D08F4">
            <w:pPr>
              <w:rPr>
                <w:b/>
                <w:sz w:val="24"/>
                <w:szCs w:val="24"/>
              </w:rPr>
            </w:pPr>
            <w:r>
              <w:rPr>
                <w:b/>
                <w:sz w:val="24"/>
                <w:szCs w:val="24"/>
              </w:rPr>
              <w:t>Support</w:t>
            </w:r>
          </w:p>
          <w:p w14:paraId="04D1D3E7" w14:textId="77777777" w:rsidR="003D08F4" w:rsidRDefault="003D08F4">
            <w:pPr>
              <w:rPr>
                <w:sz w:val="24"/>
                <w:szCs w:val="24"/>
                <w:u w:val="single"/>
              </w:rPr>
            </w:pPr>
          </w:p>
          <w:p w14:paraId="00BAFAA6" w14:textId="77777777" w:rsidR="003D08F4" w:rsidRDefault="003D08F4">
            <w:pPr>
              <w:rPr>
                <w:sz w:val="24"/>
                <w:szCs w:val="24"/>
              </w:rPr>
            </w:pPr>
            <w:r w:rsidRPr="00D91C0A">
              <w:rPr>
                <w:sz w:val="24"/>
                <w:szCs w:val="24"/>
              </w:rPr>
              <w:t xml:space="preserve">Passed out of H&amp;CD.  </w:t>
            </w:r>
            <w:r>
              <w:rPr>
                <w:sz w:val="24"/>
                <w:szCs w:val="24"/>
              </w:rPr>
              <w:t xml:space="preserve">Passed out of </w:t>
            </w:r>
            <w:r w:rsidRPr="00D91C0A">
              <w:rPr>
                <w:sz w:val="24"/>
                <w:szCs w:val="24"/>
              </w:rPr>
              <w:t>Local Government.</w:t>
            </w:r>
          </w:p>
          <w:p w14:paraId="202E53FC" w14:textId="77777777" w:rsidR="003D08F4" w:rsidRPr="00D91C0A" w:rsidRDefault="003D08F4">
            <w:pPr>
              <w:rPr>
                <w:sz w:val="24"/>
                <w:szCs w:val="24"/>
              </w:rPr>
            </w:pPr>
            <w:r>
              <w:rPr>
                <w:sz w:val="24"/>
                <w:szCs w:val="24"/>
              </w:rPr>
              <w:t xml:space="preserve">Referred to </w:t>
            </w:r>
            <w:proofErr w:type="spellStart"/>
            <w:r>
              <w:rPr>
                <w:sz w:val="24"/>
                <w:szCs w:val="24"/>
              </w:rPr>
              <w:t>Approps</w:t>
            </w:r>
            <w:proofErr w:type="spellEnd"/>
            <w:r>
              <w:rPr>
                <w:sz w:val="24"/>
                <w:szCs w:val="24"/>
              </w:rPr>
              <w:t>.</w:t>
            </w:r>
          </w:p>
        </w:tc>
      </w:tr>
      <w:tr w:rsidR="003D08F4" w:rsidRPr="00CA07B5" w14:paraId="713E9FE4" w14:textId="77777777" w:rsidTr="00892ECC">
        <w:trPr>
          <w:cantSplit/>
        </w:trPr>
        <w:tc>
          <w:tcPr>
            <w:tcW w:w="1516" w:type="dxa"/>
          </w:tcPr>
          <w:p w14:paraId="5E6786C2" w14:textId="77777777" w:rsidR="003D08F4" w:rsidRPr="00CC628A" w:rsidRDefault="003D08F4" w:rsidP="00E144C0">
            <w:pPr>
              <w:rPr>
                <w:b/>
                <w:sz w:val="24"/>
                <w:szCs w:val="24"/>
              </w:rPr>
            </w:pPr>
            <w:r w:rsidRPr="00CC628A">
              <w:rPr>
                <w:b/>
                <w:sz w:val="24"/>
                <w:szCs w:val="24"/>
              </w:rPr>
              <w:t>AB 2035</w:t>
            </w:r>
          </w:p>
        </w:tc>
        <w:tc>
          <w:tcPr>
            <w:tcW w:w="1838" w:type="dxa"/>
          </w:tcPr>
          <w:p w14:paraId="44A9B57A" w14:textId="77777777" w:rsidR="003D08F4" w:rsidRDefault="003D08F4" w:rsidP="00E144C0">
            <w:pPr>
              <w:rPr>
                <w:sz w:val="24"/>
                <w:szCs w:val="24"/>
              </w:rPr>
            </w:pPr>
            <w:r>
              <w:rPr>
                <w:sz w:val="24"/>
                <w:szCs w:val="24"/>
              </w:rPr>
              <w:t>Mullin</w:t>
            </w:r>
          </w:p>
        </w:tc>
        <w:tc>
          <w:tcPr>
            <w:tcW w:w="3754" w:type="dxa"/>
          </w:tcPr>
          <w:p w14:paraId="3DA3E82E" w14:textId="77777777" w:rsidR="003D08F4" w:rsidRPr="00CC628A" w:rsidRDefault="003D08F4" w:rsidP="00E144C0">
            <w:pPr>
              <w:rPr>
                <w:b/>
                <w:sz w:val="24"/>
                <w:szCs w:val="24"/>
              </w:rPr>
            </w:pPr>
            <w:r w:rsidRPr="00CC628A">
              <w:rPr>
                <w:b/>
                <w:sz w:val="24"/>
                <w:szCs w:val="24"/>
              </w:rPr>
              <w:t xml:space="preserve">Tax increment </w:t>
            </w:r>
          </w:p>
        </w:tc>
        <w:tc>
          <w:tcPr>
            <w:tcW w:w="4752" w:type="dxa"/>
          </w:tcPr>
          <w:p w14:paraId="540F04E7" w14:textId="77777777" w:rsidR="003D08F4" w:rsidRDefault="003D08F4" w:rsidP="00E144C0">
            <w:pPr>
              <w:rPr>
                <w:sz w:val="24"/>
                <w:szCs w:val="24"/>
              </w:rPr>
            </w:pPr>
            <w:r>
              <w:rPr>
                <w:sz w:val="24"/>
                <w:szCs w:val="24"/>
              </w:rPr>
              <w:t>Technical amendments to 2017’s AB 1598 which authorized tax increment for affordable housing through Affordable Housing Authorities.</w:t>
            </w:r>
          </w:p>
        </w:tc>
        <w:tc>
          <w:tcPr>
            <w:tcW w:w="2715" w:type="dxa"/>
          </w:tcPr>
          <w:p w14:paraId="5F3BE3BD" w14:textId="77777777" w:rsidR="003D08F4" w:rsidRPr="00BD5FDC" w:rsidRDefault="003D08F4" w:rsidP="00E144C0">
            <w:pPr>
              <w:rPr>
                <w:sz w:val="24"/>
                <w:szCs w:val="24"/>
              </w:rPr>
            </w:pPr>
            <w:r>
              <w:rPr>
                <w:b/>
                <w:sz w:val="24"/>
                <w:szCs w:val="24"/>
              </w:rPr>
              <w:t>Watch</w:t>
            </w:r>
            <w:r>
              <w:rPr>
                <w:b/>
                <w:sz w:val="24"/>
                <w:szCs w:val="24"/>
              </w:rPr>
              <w:br/>
            </w:r>
          </w:p>
          <w:p w14:paraId="179CB0FD" w14:textId="77777777" w:rsidR="003D08F4" w:rsidRPr="000979CD" w:rsidRDefault="003D08F4" w:rsidP="00E144C0">
            <w:pPr>
              <w:rPr>
                <w:b/>
                <w:sz w:val="24"/>
                <w:szCs w:val="24"/>
              </w:rPr>
            </w:pPr>
            <w:r w:rsidRPr="00BD5FDC">
              <w:rPr>
                <w:sz w:val="24"/>
                <w:szCs w:val="24"/>
              </w:rPr>
              <w:t>Passed Local Gov’t.  Amended in H&amp;CD pending new reading.</w:t>
            </w:r>
          </w:p>
        </w:tc>
      </w:tr>
      <w:tr w:rsidR="003D08F4" w:rsidRPr="00CA07B5" w14:paraId="32B96E71" w14:textId="77777777" w:rsidTr="00892ECC">
        <w:trPr>
          <w:cantSplit/>
        </w:trPr>
        <w:tc>
          <w:tcPr>
            <w:tcW w:w="1516" w:type="dxa"/>
            <w:shd w:val="clear" w:color="auto" w:fill="FFFF00"/>
          </w:tcPr>
          <w:p w14:paraId="0A88E0B2" w14:textId="77777777" w:rsidR="003D08F4" w:rsidRPr="00CC628A" w:rsidRDefault="003D08F4">
            <w:pPr>
              <w:rPr>
                <w:b/>
                <w:sz w:val="24"/>
                <w:szCs w:val="24"/>
              </w:rPr>
            </w:pPr>
            <w:r w:rsidRPr="00CC628A">
              <w:rPr>
                <w:b/>
                <w:sz w:val="24"/>
                <w:szCs w:val="24"/>
              </w:rPr>
              <w:t>AB 2065 *</w:t>
            </w:r>
          </w:p>
        </w:tc>
        <w:tc>
          <w:tcPr>
            <w:tcW w:w="1838" w:type="dxa"/>
            <w:shd w:val="clear" w:color="auto" w:fill="FFFF00"/>
          </w:tcPr>
          <w:p w14:paraId="4020D1AC" w14:textId="77777777" w:rsidR="003D08F4" w:rsidRPr="00CA07B5" w:rsidRDefault="003D08F4">
            <w:pPr>
              <w:rPr>
                <w:sz w:val="24"/>
                <w:szCs w:val="24"/>
              </w:rPr>
            </w:pPr>
            <w:r>
              <w:rPr>
                <w:sz w:val="24"/>
                <w:szCs w:val="24"/>
              </w:rPr>
              <w:t>Ting</w:t>
            </w:r>
          </w:p>
        </w:tc>
        <w:tc>
          <w:tcPr>
            <w:tcW w:w="3754" w:type="dxa"/>
            <w:shd w:val="clear" w:color="auto" w:fill="FFFF00"/>
          </w:tcPr>
          <w:p w14:paraId="4618987D" w14:textId="77777777" w:rsidR="003D08F4" w:rsidRPr="00CC628A" w:rsidRDefault="003D08F4">
            <w:pPr>
              <w:rPr>
                <w:b/>
                <w:sz w:val="24"/>
                <w:szCs w:val="24"/>
              </w:rPr>
            </w:pPr>
            <w:r w:rsidRPr="00CC628A">
              <w:rPr>
                <w:b/>
                <w:sz w:val="24"/>
                <w:szCs w:val="24"/>
              </w:rPr>
              <w:t>Surplus Land Act</w:t>
            </w:r>
          </w:p>
        </w:tc>
        <w:tc>
          <w:tcPr>
            <w:tcW w:w="4752" w:type="dxa"/>
            <w:shd w:val="clear" w:color="auto" w:fill="FFFF00"/>
          </w:tcPr>
          <w:p w14:paraId="389EC78E" w14:textId="77777777" w:rsidR="003D08F4" w:rsidRPr="00CA07B5" w:rsidRDefault="003D08F4">
            <w:pPr>
              <w:rPr>
                <w:sz w:val="24"/>
                <w:szCs w:val="24"/>
              </w:rPr>
            </w:pPr>
            <w:r>
              <w:rPr>
                <w:sz w:val="24"/>
                <w:szCs w:val="24"/>
              </w:rPr>
              <w:t>Closes a number of loopholes and provides better definitions of “surplus”, “dispose”, “priority”.</w:t>
            </w:r>
          </w:p>
        </w:tc>
        <w:tc>
          <w:tcPr>
            <w:tcW w:w="2715" w:type="dxa"/>
            <w:shd w:val="clear" w:color="auto" w:fill="FFFF00"/>
          </w:tcPr>
          <w:p w14:paraId="3E5A6BC0" w14:textId="77777777" w:rsidR="003D08F4" w:rsidRDefault="003D08F4">
            <w:pPr>
              <w:rPr>
                <w:sz w:val="24"/>
                <w:szCs w:val="24"/>
              </w:rPr>
            </w:pPr>
            <w:r w:rsidRPr="00C61B4E">
              <w:rPr>
                <w:b/>
                <w:sz w:val="24"/>
                <w:szCs w:val="24"/>
              </w:rPr>
              <w:t xml:space="preserve">EBHO </w:t>
            </w:r>
            <w:r>
              <w:rPr>
                <w:b/>
                <w:sz w:val="24"/>
                <w:szCs w:val="24"/>
              </w:rPr>
              <w:t>S</w:t>
            </w:r>
            <w:r w:rsidRPr="00C61B4E">
              <w:rPr>
                <w:b/>
                <w:sz w:val="24"/>
                <w:szCs w:val="24"/>
              </w:rPr>
              <w:t>upport</w:t>
            </w:r>
            <w:r>
              <w:rPr>
                <w:b/>
                <w:sz w:val="24"/>
                <w:szCs w:val="24"/>
              </w:rPr>
              <w:t>s</w:t>
            </w:r>
          </w:p>
          <w:p w14:paraId="2DE4846F" w14:textId="77777777" w:rsidR="003D08F4" w:rsidRPr="00C61B4E" w:rsidRDefault="003D08F4">
            <w:pPr>
              <w:rPr>
                <w:sz w:val="24"/>
                <w:szCs w:val="24"/>
              </w:rPr>
            </w:pPr>
            <w:r>
              <w:rPr>
                <w:sz w:val="24"/>
                <w:szCs w:val="24"/>
              </w:rPr>
              <w:t>High Priority</w:t>
            </w:r>
            <w:r>
              <w:rPr>
                <w:sz w:val="24"/>
                <w:szCs w:val="24"/>
              </w:rPr>
              <w:br/>
              <w:t xml:space="preserve">Passed out of Local Gov’t.  Next to </w:t>
            </w:r>
            <w:proofErr w:type="spellStart"/>
            <w:r>
              <w:rPr>
                <w:sz w:val="24"/>
                <w:szCs w:val="24"/>
              </w:rPr>
              <w:t>Approps</w:t>
            </w:r>
            <w:proofErr w:type="spellEnd"/>
            <w:r>
              <w:rPr>
                <w:sz w:val="24"/>
                <w:szCs w:val="24"/>
              </w:rPr>
              <w:t xml:space="preserve">.  On </w:t>
            </w:r>
            <w:proofErr w:type="spellStart"/>
            <w:r>
              <w:rPr>
                <w:sz w:val="24"/>
                <w:szCs w:val="24"/>
              </w:rPr>
              <w:t>Approps</w:t>
            </w:r>
            <w:proofErr w:type="spellEnd"/>
            <w:r>
              <w:rPr>
                <w:sz w:val="24"/>
                <w:szCs w:val="24"/>
              </w:rPr>
              <w:t xml:space="preserve"> Suspense. </w:t>
            </w:r>
            <w:r w:rsidRPr="00F8703B">
              <w:rPr>
                <w:b/>
                <w:i/>
                <w:sz w:val="24"/>
                <w:szCs w:val="24"/>
              </w:rPr>
              <w:t>Amendments pending</w:t>
            </w:r>
          </w:p>
        </w:tc>
      </w:tr>
      <w:tr w:rsidR="003D08F4" w:rsidRPr="00CA07B5" w14:paraId="6530C953" w14:textId="77777777" w:rsidTr="00892ECC">
        <w:trPr>
          <w:cantSplit/>
        </w:trPr>
        <w:tc>
          <w:tcPr>
            <w:tcW w:w="1516" w:type="dxa"/>
          </w:tcPr>
          <w:p w14:paraId="0ECEAFE8" w14:textId="77777777" w:rsidR="003D08F4" w:rsidRPr="00CC628A" w:rsidRDefault="003D08F4" w:rsidP="00E144C0">
            <w:pPr>
              <w:rPr>
                <w:b/>
                <w:sz w:val="24"/>
                <w:szCs w:val="24"/>
              </w:rPr>
            </w:pPr>
            <w:r w:rsidRPr="00CC628A">
              <w:rPr>
                <w:b/>
                <w:sz w:val="24"/>
                <w:szCs w:val="24"/>
              </w:rPr>
              <w:lastRenderedPageBreak/>
              <w:t>AB 2162</w:t>
            </w:r>
          </w:p>
        </w:tc>
        <w:tc>
          <w:tcPr>
            <w:tcW w:w="1838" w:type="dxa"/>
          </w:tcPr>
          <w:p w14:paraId="2A3F1C5E" w14:textId="77777777" w:rsidR="003D08F4" w:rsidRDefault="003D08F4" w:rsidP="00E144C0">
            <w:pPr>
              <w:rPr>
                <w:sz w:val="24"/>
                <w:szCs w:val="24"/>
              </w:rPr>
            </w:pPr>
            <w:r>
              <w:rPr>
                <w:sz w:val="24"/>
                <w:szCs w:val="24"/>
              </w:rPr>
              <w:t>Chiu/Daly</w:t>
            </w:r>
          </w:p>
        </w:tc>
        <w:tc>
          <w:tcPr>
            <w:tcW w:w="3754" w:type="dxa"/>
          </w:tcPr>
          <w:p w14:paraId="523007C2" w14:textId="77777777" w:rsidR="003D08F4" w:rsidRPr="00CC628A" w:rsidRDefault="003D08F4" w:rsidP="00E144C0">
            <w:pPr>
              <w:rPr>
                <w:b/>
                <w:sz w:val="24"/>
                <w:szCs w:val="24"/>
              </w:rPr>
            </w:pPr>
            <w:r w:rsidRPr="00CC628A">
              <w:rPr>
                <w:b/>
                <w:sz w:val="24"/>
                <w:szCs w:val="24"/>
              </w:rPr>
              <w:t>Permanent Supportive Housing By Right</w:t>
            </w:r>
          </w:p>
        </w:tc>
        <w:tc>
          <w:tcPr>
            <w:tcW w:w="4752" w:type="dxa"/>
          </w:tcPr>
          <w:p w14:paraId="17A66D81" w14:textId="77777777" w:rsidR="003D08F4" w:rsidRDefault="003D08F4" w:rsidP="00CC628A">
            <w:pPr>
              <w:rPr>
                <w:sz w:val="24"/>
                <w:szCs w:val="24"/>
              </w:rPr>
            </w:pPr>
            <w:r w:rsidRPr="00CC628A">
              <w:rPr>
                <w:b/>
                <w:sz w:val="24"/>
                <w:szCs w:val="24"/>
              </w:rPr>
              <w:t>Sponsored by CSH and Housing CA</w:t>
            </w:r>
            <w:r>
              <w:rPr>
                <w:sz w:val="24"/>
                <w:szCs w:val="24"/>
              </w:rPr>
              <w:t>.  Provides for by-right development of supportive housing if 100% of units are affordable and at least 35% or 15 units (whichever is greater) are supportive housing units.  Requires sponsors to demonstrate that services will be provided.</w:t>
            </w:r>
          </w:p>
          <w:p w14:paraId="66C3A10A" w14:textId="77777777" w:rsidR="003D08F4" w:rsidRDefault="003D08F4" w:rsidP="00CC628A">
            <w:pPr>
              <w:rPr>
                <w:sz w:val="24"/>
                <w:szCs w:val="24"/>
              </w:rPr>
            </w:pPr>
          </w:p>
          <w:p w14:paraId="7A05D8CB" w14:textId="77777777" w:rsidR="003D08F4" w:rsidRDefault="003D08F4" w:rsidP="00CC628A">
            <w:pPr>
              <w:rPr>
                <w:sz w:val="24"/>
                <w:szCs w:val="24"/>
              </w:rPr>
            </w:pPr>
            <w:r>
              <w:rPr>
                <w:sz w:val="24"/>
                <w:szCs w:val="24"/>
              </w:rPr>
              <w:t>Has substantial support.  Opposition from two cities concerned with loss of local control.</w:t>
            </w:r>
          </w:p>
        </w:tc>
        <w:tc>
          <w:tcPr>
            <w:tcW w:w="2715" w:type="dxa"/>
          </w:tcPr>
          <w:p w14:paraId="4D5ACD9F" w14:textId="77777777" w:rsidR="003D08F4" w:rsidRDefault="003D08F4" w:rsidP="00E144C0">
            <w:pPr>
              <w:rPr>
                <w:sz w:val="24"/>
                <w:szCs w:val="24"/>
              </w:rPr>
            </w:pPr>
            <w:r>
              <w:rPr>
                <w:b/>
                <w:sz w:val="24"/>
                <w:szCs w:val="24"/>
              </w:rPr>
              <w:t>Support</w:t>
            </w:r>
          </w:p>
          <w:p w14:paraId="2F8F1991" w14:textId="77777777" w:rsidR="003D08F4" w:rsidRDefault="003D08F4" w:rsidP="00E144C0">
            <w:pPr>
              <w:rPr>
                <w:sz w:val="24"/>
                <w:szCs w:val="24"/>
              </w:rPr>
            </w:pPr>
          </w:p>
          <w:p w14:paraId="1FD48A1F" w14:textId="77777777" w:rsidR="003D08F4" w:rsidRDefault="003D08F4" w:rsidP="00E144C0">
            <w:pPr>
              <w:rPr>
                <w:sz w:val="24"/>
                <w:szCs w:val="24"/>
              </w:rPr>
            </w:pPr>
            <w:r>
              <w:rPr>
                <w:sz w:val="24"/>
                <w:szCs w:val="24"/>
              </w:rPr>
              <w:t xml:space="preserve">Passed by Local Gov’t, Housing &amp; CD, and </w:t>
            </w:r>
            <w:proofErr w:type="spellStart"/>
            <w:r>
              <w:rPr>
                <w:sz w:val="24"/>
                <w:szCs w:val="24"/>
              </w:rPr>
              <w:t>Approps</w:t>
            </w:r>
            <w:proofErr w:type="spellEnd"/>
            <w:r>
              <w:rPr>
                <w:sz w:val="24"/>
                <w:szCs w:val="24"/>
              </w:rPr>
              <w:t>.</w:t>
            </w:r>
          </w:p>
          <w:p w14:paraId="37C394D0" w14:textId="77777777" w:rsidR="003D08F4" w:rsidRPr="005207ED" w:rsidRDefault="003D08F4" w:rsidP="00E144C0">
            <w:pPr>
              <w:rPr>
                <w:sz w:val="24"/>
                <w:szCs w:val="24"/>
              </w:rPr>
            </w:pPr>
          </w:p>
        </w:tc>
      </w:tr>
      <w:tr w:rsidR="003D08F4" w:rsidRPr="00CA07B5" w14:paraId="0E59E75E" w14:textId="77777777" w:rsidTr="00892ECC">
        <w:trPr>
          <w:cantSplit/>
        </w:trPr>
        <w:tc>
          <w:tcPr>
            <w:tcW w:w="1516" w:type="dxa"/>
          </w:tcPr>
          <w:p w14:paraId="1BA86639" w14:textId="77777777" w:rsidR="003D08F4" w:rsidRPr="00CC628A" w:rsidRDefault="003D08F4">
            <w:pPr>
              <w:rPr>
                <w:b/>
                <w:sz w:val="24"/>
                <w:szCs w:val="24"/>
              </w:rPr>
            </w:pPr>
            <w:r w:rsidRPr="00CC628A">
              <w:rPr>
                <w:b/>
                <w:sz w:val="24"/>
                <w:szCs w:val="24"/>
              </w:rPr>
              <w:t>AB 2343</w:t>
            </w:r>
          </w:p>
        </w:tc>
        <w:tc>
          <w:tcPr>
            <w:tcW w:w="1838" w:type="dxa"/>
          </w:tcPr>
          <w:p w14:paraId="26664FDB" w14:textId="77777777" w:rsidR="003D08F4" w:rsidRDefault="003D08F4">
            <w:pPr>
              <w:rPr>
                <w:sz w:val="24"/>
                <w:szCs w:val="24"/>
              </w:rPr>
            </w:pPr>
            <w:r>
              <w:rPr>
                <w:sz w:val="24"/>
                <w:szCs w:val="24"/>
              </w:rPr>
              <w:t>Chiu</w:t>
            </w:r>
          </w:p>
        </w:tc>
        <w:tc>
          <w:tcPr>
            <w:tcW w:w="3754" w:type="dxa"/>
          </w:tcPr>
          <w:p w14:paraId="3E125269" w14:textId="77777777" w:rsidR="003D08F4" w:rsidRPr="00CC628A" w:rsidRDefault="003D08F4">
            <w:pPr>
              <w:rPr>
                <w:b/>
                <w:sz w:val="24"/>
                <w:szCs w:val="24"/>
              </w:rPr>
            </w:pPr>
            <w:r w:rsidRPr="00CC628A">
              <w:rPr>
                <w:b/>
                <w:sz w:val="24"/>
                <w:szCs w:val="24"/>
              </w:rPr>
              <w:t>Tenant Rights – eviction notices</w:t>
            </w:r>
          </w:p>
        </w:tc>
        <w:tc>
          <w:tcPr>
            <w:tcW w:w="4752" w:type="dxa"/>
          </w:tcPr>
          <w:p w14:paraId="5FF0556B" w14:textId="77777777" w:rsidR="003D08F4" w:rsidRDefault="003D08F4" w:rsidP="00137A7B">
            <w:pPr>
              <w:rPr>
                <w:sz w:val="24"/>
                <w:szCs w:val="24"/>
              </w:rPr>
            </w:pPr>
            <w:r>
              <w:rPr>
                <w:sz w:val="24"/>
                <w:szCs w:val="24"/>
              </w:rPr>
              <w:t>Extends time for tenants to respond to notice to quit or correct from 3 days to 10 days (if breach is curable) and requires that specific reasons be stated in the notice.  Also extends time to respond to Unlawful Detainer from 5 days to 10 days.</w:t>
            </w:r>
            <w:r>
              <w:rPr>
                <w:sz w:val="24"/>
                <w:szCs w:val="24"/>
              </w:rPr>
              <w:br/>
            </w:r>
            <w:r>
              <w:rPr>
                <w:sz w:val="24"/>
                <w:szCs w:val="24"/>
              </w:rPr>
              <w:br/>
              <w:t>Note that EAH is in opposition – they believe it will make evictions harder for them.</w:t>
            </w:r>
          </w:p>
        </w:tc>
        <w:tc>
          <w:tcPr>
            <w:tcW w:w="2715" w:type="dxa"/>
          </w:tcPr>
          <w:p w14:paraId="2209CA75" w14:textId="77777777" w:rsidR="003D08F4" w:rsidRDefault="003D08F4">
            <w:pPr>
              <w:rPr>
                <w:b/>
                <w:sz w:val="24"/>
                <w:szCs w:val="24"/>
              </w:rPr>
            </w:pPr>
            <w:r>
              <w:rPr>
                <w:b/>
                <w:sz w:val="24"/>
                <w:szCs w:val="24"/>
              </w:rPr>
              <w:t>Support</w:t>
            </w:r>
          </w:p>
          <w:p w14:paraId="6CA8A326" w14:textId="77777777" w:rsidR="003D08F4" w:rsidRDefault="003D08F4">
            <w:pPr>
              <w:rPr>
                <w:sz w:val="24"/>
                <w:szCs w:val="24"/>
              </w:rPr>
            </w:pPr>
          </w:p>
          <w:p w14:paraId="1C87CEEF" w14:textId="77777777" w:rsidR="003D08F4" w:rsidRDefault="003D08F4">
            <w:pPr>
              <w:rPr>
                <w:sz w:val="24"/>
                <w:szCs w:val="24"/>
              </w:rPr>
            </w:pPr>
            <w:r>
              <w:rPr>
                <w:sz w:val="24"/>
                <w:szCs w:val="24"/>
              </w:rPr>
              <w:t xml:space="preserve">Passed out of Jud </w:t>
            </w:r>
            <w:proofErr w:type="gramStart"/>
            <w:r>
              <w:rPr>
                <w:sz w:val="24"/>
                <w:szCs w:val="24"/>
              </w:rPr>
              <w:t>Comm  Passed</w:t>
            </w:r>
            <w:proofErr w:type="gramEnd"/>
            <w:r>
              <w:rPr>
                <w:sz w:val="24"/>
                <w:szCs w:val="24"/>
              </w:rPr>
              <w:t xml:space="preserve"> out of </w:t>
            </w:r>
            <w:proofErr w:type="spellStart"/>
            <w:r>
              <w:rPr>
                <w:sz w:val="24"/>
                <w:szCs w:val="24"/>
              </w:rPr>
              <w:t>Approps</w:t>
            </w:r>
            <w:proofErr w:type="spellEnd"/>
            <w:r>
              <w:rPr>
                <w:sz w:val="24"/>
                <w:szCs w:val="24"/>
              </w:rPr>
              <w:t>.</w:t>
            </w:r>
          </w:p>
          <w:p w14:paraId="211A707B" w14:textId="77777777" w:rsidR="003D08F4" w:rsidRPr="00D91C0A" w:rsidRDefault="003D08F4">
            <w:pPr>
              <w:rPr>
                <w:sz w:val="24"/>
                <w:szCs w:val="24"/>
              </w:rPr>
            </w:pPr>
            <w:r>
              <w:rPr>
                <w:sz w:val="24"/>
                <w:szCs w:val="24"/>
              </w:rPr>
              <w:t>In Suspense File</w:t>
            </w:r>
          </w:p>
        </w:tc>
      </w:tr>
      <w:tr w:rsidR="003D08F4" w:rsidRPr="00CA07B5" w14:paraId="3C263494" w14:textId="77777777" w:rsidTr="00892ECC">
        <w:trPr>
          <w:cantSplit/>
        </w:trPr>
        <w:tc>
          <w:tcPr>
            <w:tcW w:w="1516" w:type="dxa"/>
          </w:tcPr>
          <w:p w14:paraId="2A0DBBF8" w14:textId="77777777" w:rsidR="003D08F4" w:rsidRPr="00CC628A" w:rsidRDefault="003D08F4" w:rsidP="00E144C0">
            <w:pPr>
              <w:rPr>
                <w:b/>
                <w:sz w:val="24"/>
                <w:szCs w:val="24"/>
              </w:rPr>
            </w:pPr>
            <w:r w:rsidRPr="00CC628A">
              <w:rPr>
                <w:b/>
                <w:sz w:val="24"/>
                <w:szCs w:val="24"/>
              </w:rPr>
              <w:t>AB 2562</w:t>
            </w:r>
          </w:p>
        </w:tc>
        <w:tc>
          <w:tcPr>
            <w:tcW w:w="1838" w:type="dxa"/>
          </w:tcPr>
          <w:p w14:paraId="6BF0E31F" w14:textId="77777777" w:rsidR="003D08F4" w:rsidRDefault="003D08F4" w:rsidP="00E144C0">
            <w:pPr>
              <w:rPr>
                <w:sz w:val="24"/>
                <w:szCs w:val="24"/>
              </w:rPr>
            </w:pPr>
            <w:r>
              <w:rPr>
                <w:sz w:val="24"/>
                <w:szCs w:val="24"/>
              </w:rPr>
              <w:t>Mullin</w:t>
            </w:r>
          </w:p>
        </w:tc>
        <w:tc>
          <w:tcPr>
            <w:tcW w:w="3754" w:type="dxa"/>
          </w:tcPr>
          <w:p w14:paraId="134607C9" w14:textId="77777777" w:rsidR="003D08F4" w:rsidRPr="00CC628A" w:rsidRDefault="003D08F4" w:rsidP="00E144C0">
            <w:pPr>
              <w:rPr>
                <w:b/>
                <w:sz w:val="24"/>
                <w:szCs w:val="24"/>
              </w:rPr>
            </w:pPr>
            <w:r w:rsidRPr="00CC628A">
              <w:rPr>
                <w:b/>
                <w:sz w:val="24"/>
                <w:szCs w:val="24"/>
              </w:rPr>
              <w:t>HCD Loan Programs</w:t>
            </w:r>
          </w:p>
        </w:tc>
        <w:tc>
          <w:tcPr>
            <w:tcW w:w="4752" w:type="dxa"/>
          </w:tcPr>
          <w:p w14:paraId="00A576AD" w14:textId="77777777" w:rsidR="003D08F4" w:rsidRDefault="003D08F4" w:rsidP="00E144C0">
            <w:pPr>
              <w:rPr>
                <w:sz w:val="24"/>
                <w:szCs w:val="24"/>
              </w:rPr>
            </w:pPr>
            <w:r>
              <w:rPr>
                <w:sz w:val="24"/>
                <w:szCs w:val="24"/>
              </w:rPr>
              <w:t>Gives HCD authority to set/adjust interest rates on loans to make projects more feasible for tax credit financing.</w:t>
            </w:r>
          </w:p>
        </w:tc>
        <w:tc>
          <w:tcPr>
            <w:tcW w:w="2715" w:type="dxa"/>
          </w:tcPr>
          <w:p w14:paraId="66C6775A" w14:textId="77777777" w:rsidR="003D08F4" w:rsidRDefault="003D08F4" w:rsidP="00E144C0">
            <w:pPr>
              <w:rPr>
                <w:sz w:val="24"/>
                <w:szCs w:val="24"/>
              </w:rPr>
            </w:pPr>
            <w:r>
              <w:rPr>
                <w:b/>
                <w:sz w:val="24"/>
                <w:szCs w:val="24"/>
              </w:rPr>
              <w:t>Watch</w:t>
            </w:r>
          </w:p>
          <w:p w14:paraId="66DDB3DA" w14:textId="77777777" w:rsidR="003D08F4" w:rsidRDefault="003D08F4" w:rsidP="00E144C0">
            <w:pPr>
              <w:rPr>
                <w:sz w:val="24"/>
                <w:szCs w:val="24"/>
              </w:rPr>
            </w:pPr>
          </w:p>
          <w:p w14:paraId="624996AC" w14:textId="77777777" w:rsidR="003D08F4" w:rsidRPr="00BD5FDC" w:rsidRDefault="003D08F4" w:rsidP="00E144C0">
            <w:pPr>
              <w:rPr>
                <w:sz w:val="24"/>
                <w:szCs w:val="24"/>
              </w:rPr>
            </w:pPr>
            <w:r>
              <w:rPr>
                <w:sz w:val="24"/>
                <w:szCs w:val="24"/>
              </w:rPr>
              <w:t xml:space="preserve">Referred to </w:t>
            </w:r>
            <w:proofErr w:type="spellStart"/>
            <w:r>
              <w:rPr>
                <w:sz w:val="24"/>
                <w:szCs w:val="24"/>
              </w:rPr>
              <w:t>Approps</w:t>
            </w:r>
            <w:proofErr w:type="spellEnd"/>
            <w:r>
              <w:rPr>
                <w:sz w:val="24"/>
                <w:szCs w:val="24"/>
              </w:rPr>
              <w:t>.  On suspense file.</w:t>
            </w:r>
          </w:p>
        </w:tc>
      </w:tr>
      <w:tr w:rsidR="003D08F4" w:rsidRPr="00CA07B5" w14:paraId="35541906" w14:textId="77777777" w:rsidTr="00892ECC">
        <w:trPr>
          <w:cantSplit/>
        </w:trPr>
        <w:tc>
          <w:tcPr>
            <w:tcW w:w="1516" w:type="dxa"/>
          </w:tcPr>
          <w:p w14:paraId="20BBE16B" w14:textId="77777777" w:rsidR="003D08F4" w:rsidRPr="00CC628A" w:rsidRDefault="003D08F4">
            <w:pPr>
              <w:rPr>
                <w:b/>
                <w:sz w:val="24"/>
                <w:szCs w:val="24"/>
              </w:rPr>
            </w:pPr>
            <w:r w:rsidRPr="00CC628A">
              <w:rPr>
                <w:b/>
                <w:sz w:val="24"/>
                <w:szCs w:val="24"/>
              </w:rPr>
              <w:lastRenderedPageBreak/>
              <w:t>AB 2923 *</w:t>
            </w:r>
          </w:p>
        </w:tc>
        <w:tc>
          <w:tcPr>
            <w:tcW w:w="1838" w:type="dxa"/>
          </w:tcPr>
          <w:p w14:paraId="62C37C91" w14:textId="77777777" w:rsidR="003D08F4" w:rsidRPr="00CA07B5" w:rsidRDefault="003D08F4">
            <w:pPr>
              <w:rPr>
                <w:sz w:val="24"/>
                <w:szCs w:val="24"/>
              </w:rPr>
            </w:pPr>
            <w:r>
              <w:rPr>
                <w:sz w:val="24"/>
                <w:szCs w:val="24"/>
              </w:rPr>
              <w:t>Chiu/Grayson</w:t>
            </w:r>
          </w:p>
        </w:tc>
        <w:tc>
          <w:tcPr>
            <w:tcW w:w="3754" w:type="dxa"/>
          </w:tcPr>
          <w:p w14:paraId="008EB772" w14:textId="77777777" w:rsidR="003D08F4" w:rsidRPr="00CC628A" w:rsidRDefault="003D08F4">
            <w:pPr>
              <w:rPr>
                <w:b/>
                <w:sz w:val="24"/>
                <w:szCs w:val="24"/>
              </w:rPr>
            </w:pPr>
            <w:r w:rsidRPr="00CC628A">
              <w:rPr>
                <w:b/>
                <w:sz w:val="24"/>
                <w:szCs w:val="24"/>
              </w:rPr>
              <w:t>BART TOD Zoning</w:t>
            </w:r>
          </w:p>
        </w:tc>
        <w:tc>
          <w:tcPr>
            <w:tcW w:w="4752" w:type="dxa"/>
          </w:tcPr>
          <w:p w14:paraId="7E20520C" w14:textId="77777777" w:rsidR="003D08F4" w:rsidRDefault="003D08F4" w:rsidP="00EC2F25">
            <w:pPr>
              <w:rPr>
                <w:sz w:val="24"/>
                <w:szCs w:val="24"/>
              </w:rPr>
            </w:pPr>
            <w:r>
              <w:rPr>
                <w:sz w:val="24"/>
                <w:szCs w:val="24"/>
              </w:rPr>
              <w:t>Requires BART to adopt TOD Zoning Standards.  Gives cities 2 years to modify zoning to be consistent with TOD Zoning standards.  If that doesn’t happen, BART land is automatically rezoned.    Zoning Standards must include a minimum of 20% affordable to very low, low and moderate income</w:t>
            </w:r>
          </w:p>
          <w:p w14:paraId="38F89B0F" w14:textId="77777777" w:rsidR="003D08F4" w:rsidRDefault="003D08F4" w:rsidP="00EC2F25">
            <w:pPr>
              <w:rPr>
                <w:sz w:val="24"/>
                <w:szCs w:val="24"/>
              </w:rPr>
            </w:pPr>
          </w:p>
          <w:p w14:paraId="346167D7" w14:textId="77777777" w:rsidR="003D08F4" w:rsidRPr="00892ECC" w:rsidRDefault="003D08F4" w:rsidP="00EC2F25">
            <w:pPr>
              <w:rPr>
                <w:i/>
                <w:sz w:val="24"/>
                <w:szCs w:val="24"/>
              </w:rPr>
            </w:pPr>
            <w:r>
              <w:rPr>
                <w:i/>
                <w:sz w:val="24"/>
                <w:szCs w:val="24"/>
              </w:rPr>
              <w:t xml:space="preserve">NOTE:  </w:t>
            </w:r>
            <w:r w:rsidRPr="00892ECC">
              <w:rPr>
                <w:i/>
                <w:sz w:val="24"/>
                <w:szCs w:val="24"/>
              </w:rPr>
              <w:t>BART’s current guidelines require 20% affordable at each station and 35% systemwide.  In practice, the 20% is for very low and low, but does not include moderate income.  This bill would permit moderate instead of low.</w:t>
            </w:r>
            <w:r>
              <w:rPr>
                <w:i/>
                <w:sz w:val="24"/>
                <w:szCs w:val="24"/>
              </w:rPr>
              <w:t xml:space="preserve">   Also, bill calls on BART to plan to address LI housing needs and housing for essential workers near BART station.  Not within BART’s power?</w:t>
            </w:r>
          </w:p>
        </w:tc>
        <w:tc>
          <w:tcPr>
            <w:tcW w:w="2715" w:type="dxa"/>
          </w:tcPr>
          <w:p w14:paraId="17D97155" w14:textId="77777777" w:rsidR="003D08F4" w:rsidRDefault="003D08F4">
            <w:pPr>
              <w:rPr>
                <w:sz w:val="24"/>
                <w:szCs w:val="24"/>
              </w:rPr>
            </w:pPr>
            <w:r w:rsidRPr="00A461AF">
              <w:rPr>
                <w:b/>
                <w:sz w:val="24"/>
                <w:szCs w:val="24"/>
              </w:rPr>
              <w:t>None yet</w:t>
            </w:r>
          </w:p>
          <w:p w14:paraId="0BDD95A3" w14:textId="77777777" w:rsidR="003D08F4" w:rsidRDefault="003D08F4">
            <w:pPr>
              <w:rPr>
                <w:sz w:val="24"/>
                <w:szCs w:val="24"/>
              </w:rPr>
            </w:pPr>
          </w:p>
          <w:p w14:paraId="4EC233D4" w14:textId="77777777" w:rsidR="003D08F4" w:rsidRDefault="003D08F4">
            <w:pPr>
              <w:rPr>
                <w:sz w:val="24"/>
                <w:szCs w:val="24"/>
              </w:rPr>
            </w:pPr>
            <w:r>
              <w:rPr>
                <w:sz w:val="24"/>
                <w:szCs w:val="24"/>
              </w:rPr>
              <w:t>Passed Local Gov and Nat Res.</w:t>
            </w:r>
          </w:p>
          <w:p w14:paraId="0B4B2CE7" w14:textId="77777777" w:rsidR="003D08F4" w:rsidRDefault="003D08F4">
            <w:pPr>
              <w:rPr>
                <w:sz w:val="24"/>
                <w:szCs w:val="24"/>
              </w:rPr>
            </w:pPr>
          </w:p>
          <w:p w14:paraId="5E064813" w14:textId="77777777" w:rsidR="003D08F4" w:rsidRDefault="003D08F4">
            <w:pPr>
              <w:rPr>
                <w:sz w:val="24"/>
                <w:szCs w:val="24"/>
              </w:rPr>
            </w:pPr>
          </w:p>
          <w:p w14:paraId="3207D68C" w14:textId="77777777" w:rsidR="003D08F4" w:rsidRDefault="003D08F4">
            <w:pPr>
              <w:rPr>
                <w:b/>
                <w:sz w:val="24"/>
                <w:szCs w:val="24"/>
              </w:rPr>
            </w:pPr>
            <w:r>
              <w:rPr>
                <w:b/>
                <w:sz w:val="24"/>
                <w:szCs w:val="24"/>
              </w:rPr>
              <w:t xml:space="preserve">Should We </w:t>
            </w:r>
            <w:r w:rsidRPr="00156E8E">
              <w:rPr>
                <w:b/>
                <w:sz w:val="24"/>
                <w:szCs w:val="24"/>
              </w:rPr>
              <w:t>Support</w:t>
            </w:r>
            <w:r>
              <w:rPr>
                <w:b/>
                <w:sz w:val="24"/>
                <w:szCs w:val="24"/>
              </w:rPr>
              <w:t xml:space="preserve"> if Amended</w:t>
            </w:r>
            <w:r w:rsidRPr="00156E8E">
              <w:rPr>
                <w:b/>
                <w:sz w:val="24"/>
                <w:szCs w:val="24"/>
              </w:rPr>
              <w:t>?</w:t>
            </w:r>
          </w:p>
          <w:p w14:paraId="71BE83EF" w14:textId="77777777" w:rsidR="003D08F4" w:rsidRPr="005207ED" w:rsidRDefault="003D08F4">
            <w:pPr>
              <w:rPr>
                <w:sz w:val="24"/>
                <w:szCs w:val="24"/>
              </w:rPr>
            </w:pPr>
            <w:r w:rsidRPr="005207ED">
              <w:rPr>
                <w:sz w:val="24"/>
                <w:szCs w:val="24"/>
              </w:rPr>
              <w:t>Need to ensure that current requirement of 20% lower i</w:t>
            </w:r>
            <w:r>
              <w:rPr>
                <w:sz w:val="24"/>
                <w:szCs w:val="24"/>
              </w:rPr>
              <w:t>ncome housing is not undermined by including moderate income in the 20%.</w:t>
            </w:r>
            <w:r>
              <w:rPr>
                <w:sz w:val="24"/>
                <w:szCs w:val="24"/>
              </w:rPr>
              <w:br/>
            </w:r>
          </w:p>
          <w:p w14:paraId="34D8682D" w14:textId="77777777" w:rsidR="003D08F4" w:rsidRDefault="003D08F4">
            <w:pPr>
              <w:rPr>
                <w:sz w:val="24"/>
                <w:szCs w:val="24"/>
              </w:rPr>
            </w:pPr>
            <w:r>
              <w:rPr>
                <w:sz w:val="24"/>
                <w:szCs w:val="24"/>
              </w:rPr>
              <w:t>Will have strong pushback from cities on local control issue.  Would we harm our relationships with them?</w:t>
            </w:r>
          </w:p>
          <w:p w14:paraId="6D216607" w14:textId="77777777" w:rsidR="003D08F4" w:rsidRPr="00EC2F25" w:rsidRDefault="003D08F4">
            <w:pPr>
              <w:rPr>
                <w:sz w:val="24"/>
                <w:szCs w:val="24"/>
              </w:rPr>
            </w:pPr>
            <w:r>
              <w:rPr>
                <w:sz w:val="24"/>
                <w:szCs w:val="24"/>
              </w:rPr>
              <w:t>NPH is supporting.</w:t>
            </w:r>
          </w:p>
        </w:tc>
      </w:tr>
      <w:tr w:rsidR="003D08F4" w:rsidRPr="00CA07B5" w14:paraId="73707594" w14:textId="77777777" w:rsidTr="00892ECC">
        <w:trPr>
          <w:cantSplit/>
        </w:trPr>
        <w:tc>
          <w:tcPr>
            <w:tcW w:w="1516" w:type="dxa"/>
          </w:tcPr>
          <w:p w14:paraId="7650C608" w14:textId="77777777" w:rsidR="003D08F4" w:rsidRPr="00CC628A" w:rsidRDefault="003D08F4">
            <w:pPr>
              <w:rPr>
                <w:b/>
                <w:sz w:val="24"/>
                <w:szCs w:val="24"/>
              </w:rPr>
            </w:pPr>
            <w:r w:rsidRPr="00CC628A">
              <w:rPr>
                <w:b/>
                <w:sz w:val="24"/>
                <w:szCs w:val="24"/>
              </w:rPr>
              <w:t>AB 2925</w:t>
            </w:r>
          </w:p>
        </w:tc>
        <w:tc>
          <w:tcPr>
            <w:tcW w:w="1838" w:type="dxa"/>
          </w:tcPr>
          <w:p w14:paraId="13CA0C5B" w14:textId="77777777" w:rsidR="003D08F4" w:rsidRDefault="003D08F4">
            <w:pPr>
              <w:rPr>
                <w:sz w:val="24"/>
                <w:szCs w:val="24"/>
              </w:rPr>
            </w:pPr>
            <w:proofErr w:type="spellStart"/>
            <w:r>
              <w:rPr>
                <w:sz w:val="24"/>
                <w:szCs w:val="24"/>
              </w:rPr>
              <w:t>Bonta</w:t>
            </w:r>
            <w:proofErr w:type="spellEnd"/>
            <w:r>
              <w:rPr>
                <w:sz w:val="24"/>
                <w:szCs w:val="24"/>
              </w:rPr>
              <w:t xml:space="preserve"> (Bloom, Chiu, Skinner)</w:t>
            </w:r>
          </w:p>
        </w:tc>
        <w:tc>
          <w:tcPr>
            <w:tcW w:w="3754" w:type="dxa"/>
          </w:tcPr>
          <w:p w14:paraId="4948C4D1" w14:textId="77777777" w:rsidR="003D08F4" w:rsidRPr="00CC628A" w:rsidRDefault="003D08F4">
            <w:pPr>
              <w:rPr>
                <w:b/>
                <w:sz w:val="24"/>
                <w:szCs w:val="24"/>
              </w:rPr>
            </w:pPr>
            <w:r w:rsidRPr="00CC628A">
              <w:rPr>
                <w:b/>
                <w:sz w:val="24"/>
                <w:szCs w:val="24"/>
              </w:rPr>
              <w:t>Just Cause for Eviction</w:t>
            </w:r>
          </w:p>
        </w:tc>
        <w:tc>
          <w:tcPr>
            <w:tcW w:w="4752" w:type="dxa"/>
          </w:tcPr>
          <w:p w14:paraId="07B363E4" w14:textId="77777777" w:rsidR="003D08F4" w:rsidRDefault="003D08F4" w:rsidP="00FD51A6">
            <w:pPr>
              <w:rPr>
                <w:sz w:val="24"/>
                <w:szCs w:val="24"/>
              </w:rPr>
            </w:pPr>
            <w:r>
              <w:rPr>
                <w:sz w:val="24"/>
                <w:szCs w:val="24"/>
              </w:rPr>
              <w:t>Amends State landlord-tenant law to prohibit eviction except for good cause.  Language does not yet specify what “just cause” means.</w:t>
            </w:r>
          </w:p>
          <w:p w14:paraId="080BCCC4" w14:textId="77777777" w:rsidR="003D08F4" w:rsidRDefault="003D08F4" w:rsidP="00FD51A6">
            <w:pPr>
              <w:rPr>
                <w:sz w:val="24"/>
                <w:szCs w:val="24"/>
              </w:rPr>
            </w:pPr>
            <w:r>
              <w:rPr>
                <w:sz w:val="24"/>
                <w:szCs w:val="24"/>
              </w:rPr>
              <w:t>Now encourages cities to adopt ordinances, but prohibits eviction due to ownership change or expiration of lease.</w:t>
            </w:r>
          </w:p>
        </w:tc>
        <w:tc>
          <w:tcPr>
            <w:tcW w:w="2715" w:type="dxa"/>
          </w:tcPr>
          <w:p w14:paraId="47BB31C0" w14:textId="77777777" w:rsidR="003D08F4" w:rsidRPr="00B54345" w:rsidRDefault="003D08F4">
            <w:pPr>
              <w:rPr>
                <w:b/>
                <w:sz w:val="24"/>
                <w:szCs w:val="24"/>
              </w:rPr>
            </w:pPr>
            <w:r>
              <w:rPr>
                <w:b/>
                <w:sz w:val="24"/>
                <w:szCs w:val="24"/>
              </w:rPr>
              <w:t>Support</w:t>
            </w:r>
            <w:r>
              <w:rPr>
                <w:b/>
                <w:sz w:val="24"/>
                <w:szCs w:val="24"/>
              </w:rPr>
              <w:br/>
            </w:r>
            <w:r>
              <w:rPr>
                <w:b/>
                <w:sz w:val="24"/>
                <w:szCs w:val="24"/>
              </w:rPr>
              <w:br/>
            </w:r>
            <w:r w:rsidRPr="00B2323E">
              <w:rPr>
                <w:sz w:val="24"/>
                <w:szCs w:val="24"/>
              </w:rPr>
              <w:t>P</w:t>
            </w:r>
            <w:r>
              <w:rPr>
                <w:sz w:val="24"/>
                <w:szCs w:val="24"/>
              </w:rPr>
              <w:t xml:space="preserve">assed </w:t>
            </w:r>
            <w:r w:rsidRPr="00B2323E">
              <w:rPr>
                <w:sz w:val="24"/>
                <w:szCs w:val="24"/>
              </w:rPr>
              <w:t>Judiciary Comm.</w:t>
            </w:r>
          </w:p>
        </w:tc>
      </w:tr>
      <w:tr w:rsidR="003D08F4" w:rsidRPr="00CA07B5" w14:paraId="6846AE1A" w14:textId="77777777" w:rsidTr="00892ECC">
        <w:trPr>
          <w:cantSplit/>
        </w:trPr>
        <w:tc>
          <w:tcPr>
            <w:tcW w:w="1516" w:type="dxa"/>
          </w:tcPr>
          <w:p w14:paraId="3C5B9F02" w14:textId="77777777" w:rsidR="003D08F4" w:rsidRPr="00CC628A" w:rsidRDefault="003D08F4">
            <w:pPr>
              <w:rPr>
                <w:b/>
                <w:sz w:val="24"/>
                <w:szCs w:val="24"/>
              </w:rPr>
            </w:pPr>
            <w:r w:rsidRPr="00CC628A">
              <w:rPr>
                <w:b/>
                <w:sz w:val="24"/>
                <w:szCs w:val="24"/>
              </w:rPr>
              <w:lastRenderedPageBreak/>
              <w:t>AB 3037</w:t>
            </w:r>
          </w:p>
        </w:tc>
        <w:tc>
          <w:tcPr>
            <w:tcW w:w="1838" w:type="dxa"/>
          </w:tcPr>
          <w:p w14:paraId="21EFED77" w14:textId="77777777" w:rsidR="003D08F4" w:rsidRDefault="003D08F4">
            <w:pPr>
              <w:rPr>
                <w:sz w:val="24"/>
                <w:szCs w:val="24"/>
              </w:rPr>
            </w:pPr>
            <w:r>
              <w:rPr>
                <w:sz w:val="24"/>
                <w:szCs w:val="24"/>
              </w:rPr>
              <w:t>Chiu</w:t>
            </w:r>
          </w:p>
        </w:tc>
        <w:tc>
          <w:tcPr>
            <w:tcW w:w="3754" w:type="dxa"/>
          </w:tcPr>
          <w:p w14:paraId="0C75AAA0" w14:textId="77777777" w:rsidR="003D08F4" w:rsidRPr="00CC628A" w:rsidRDefault="003D08F4">
            <w:pPr>
              <w:rPr>
                <w:b/>
                <w:sz w:val="24"/>
                <w:szCs w:val="24"/>
              </w:rPr>
            </w:pPr>
            <w:r w:rsidRPr="00CC628A">
              <w:rPr>
                <w:b/>
                <w:sz w:val="24"/>
                <w:szCs w:val="24"/>
              </w:rPr>
              <w:t>Redevelopment 2.0</w:t>
            </w:r>
          </w:p>
        </w:tc>
        <w:tc>
          <w:tcPr>
            <w:tcW w:w="4752" w:type="dxa"/>
          </w:tcPr>
          <w:p w14:paraId="191F7F0A" w14:textId="77777777" w:rsidR="003D08F4" w:rsidRDefault="003D08F4" w:rsidP="00FD51A6">
            <w:pPr>
              <w:rPr>
                <w:sz w:val="24"/>
                <w:szCs w:val="24"/>
              </w:rPr>
            </w:pPr>
            <w:r>
              <w:rPr>
                <w:sz w:val="24"/>
                <w:szCs w:val="24"/>
              </w:rPr>
              <w:t>Establishes authority for Redevelopment Housing &amp; Infrastructure Agencies.  Re-establishes ability to collect tax increment.  Has replacement housing requirements and a 30% low/mod set-aside requirement.  Voter approval (55%) needed for any RHIA bonds.</w:t>
            </w:r>
          </w:p>
          <w:p w14:paraId="68595DF9" w14:textId="77777777" w:rsidR="003D08F4" w:rsidRDefault="003D08F4" w:rsidP="00FD51A6">
            <w:pPr>
              <w:rPr>
                <w:sz w:val="24"/>
                <w:szCs w:val="24"/>
              </w:rPr>
            </w:pPr>
          </w:p>
          <w:p w14:paraId="47771444" w14:textId="77777777" w:rsidR="003D08F4" w:rsidRDefault="003D08F4" w:rsidP="00FD51A6">
            <w:pPr>
              <w:rPr>
                <w:sz w:val="24"/>
                <w:szCs w:val="24"/>
              </w:rPr>
            </w:pPr>
            <w:r>
              <w:rPr>
                <w:sz w:val="24"/>
                <w:szCs w:val="24"/>
              </w:rPr>
              <w:t xml:space="preserve">Provides for pass-through to affected taxing </w:t>
            </w:r>
            <w:proofErr w:type="spellStart"/>
            <w:r>
              <w:rPr>
                <w:sz w:val="24"/>
                <w:szCs w:val="24"/>
              </w:rPr>
              <w:t>entitities</w:t>
            </w:r>
            <w:proofErr w:type="spellEnd"/>
            <w:r>
              <w:rPr>
                <w:sz w:val="24"/>
                <w:szCs w:val="24"/>
              </w:rPr>
              <w:t xml:space="preserve">.  Requires SGC to find that new </w:t>
            </w:r>
            <w:proofErr w:type="spellStart"/>
            <w:r>
              <w:rPr>
                <w:sz w:val="24"/>
                <w:szCs w:val="24"/>
              </w:rPr>
              <w:t>redev</w:t>
            </w:r>
            <w:proofErr w:type="spellEnd"/>
            <w:r>
              <w:rPr>
                <w:sz w:val="24"/>
                <w:szCs w:val="24"/>
              </w:rPr>
              <w:t xml:space="preserve"> areas support GHG reductions.</w:t>
            </w:r>
          </w:p>
        </w:tc>
        <w:tc>
          <w:tcPr>
            <w:tcW w:w="2715" w:type="dxa"/>
          </w:tcPr>
          <w:p w14:paraId="3E514361" w14:textId="77777777" w:rsidR="003D08F4" w:rsidRDefault="003D08F4">
            <w:pPr>
              <w:rPr>
                <w:b/>
                <w:sz w:val="24"/>
                <w:szCs w:val="24"/>
              </w:rPr>
            </w:pPr>
            <w:r>
              <w:rPr>
                <w:b/>
                <w:sz w:val="24"/>
                <w:szCs w:val="24"/>
              </w:rPr>
              <w:t>Watch</w:t>
            </w:r>
          </w:p>
          <w:p w14:paraId="4E92AF70" w14:textId="77777777" w:rsidR="003D08F4" w:rsidRDefault="003D08F4">
            <w:pPr>
              <w:rPr>
                <w:b/>
                <w:sz w:val="24"/>
                <w:szCs w:val="24"/>
              </w:rPr>
            </w:pPr>
          </w:p>
          <w:p w14:paraId="6C61354D" w14:textId="77777777" w:rsidR="003D08F4" w:rsidRPr="00F0754A" w:rsidRDefault="003D08F4">
            <w:pPr>
              <w:rPr>
                <w:sz w:val="24"/>
                <w:szCs w:val="24"/>
              </w:rPr>
            </w:pPr>
            <w:r>
              <w:rPr>
                <w:sz w:val="24"/>
                <w:szCs w:val="24"/>
              </w:rPr>
              <w:t>Passed H&amp;CD and Local Gov</w:t>
            </w:r>
          </w:p>
        </w:tc>
      </w:tr>
      <w:tr w:rsidR="003D08F4" w:rsidRPr="00CA07B5" w14:paraId="7268973B" w14:textId="77777777" w:rsidTr="00892ECC">
        <w:trPr>
          <w:cantSplit/>
        </w:trPr>
        <w:tc>
          <w:tcPr>
            <w:tcW w:w="1516" w:type="dxa"/>
          </w:tcPr>
          <w:p w14:paraId="7A920145" w14:textId="77777777" w:rsidR="003D08F4" w:rsidRPr="00CC628A" w:rsidRDefault="003D08F4">
            <w:pPr>
              <w:rPr>
                <w:b/>
                <w:sz w:val="24"/>
                <w:szCs w:val="24"/>
              </w:rPr>
            </w:pPr>
            <w:r w:rsidRPr="00CC628A">
              <w:rPr>
                <w:b/>
                <w:sz w:val="24"/>
                <w:szCs w:val="24"/>
              </w:rPr>
              <w:t>AB 3072</w:t>
            </w:r>
          </w:p>
        </w:tc>
        <w:tc>
          <w:tcPr>
            <w:tcW w:w="1838" w:type="dxa"/>
          </w:tcPr>
          <w:p w14:paraId="4E47AE80" w14:textId="77777777" w:rsidR="003D08F4" w:rsidRDefault="003D08F4">
            <w:pPr>
              <w:rPr>
                <w:sz w:val="24"/>
                <w:szCs w:val="24"/>
              </w:rPr>
            </w:pPr>
            <w:r>
              <w:rPr>
                <w:sz w:val="24"/>
                <w:szCs w:val="24"/>
              </w:rPr>
              <w:t>Chiu</w:t>
            </w:r>
          </w:p>
        </w:tc>
        <w:tc>
          <w:tcPr>
            <w:tcW w:w="3754" w:type="dxa"/>
          </w:tcPr>
          <w:p w14:paraId="2EFE36D9" w14:textId="77777777" w:rsidR="003D08F4" w:rsidRPr="00CC628A" w:rsidRDefault="003D08F4">
            <w:pPr>
              <w:rPr>
                <w:b/>
                <w:sz w:val="24"/>
                <w:szCs w:val="24"/>
              </w:rPr>
            </w:pPr>
            <w:r w:rsidRPr="00CC628A">
              <w:rPr>
                <w:b/>
                <w:sz w:val="24"/>
                <w:szCs w:val="24"/>
              </w:rPr>
              <w:t>State housing tax credit</w:t>
            </w:r>
          </w:p>
        </w:tc>
        <w:tc>
          <w:tcPr>
            <w:tcW w:w="4752" w:type="dxa"/>
          </w:tcPr>
          <w:p w14:paraId="698AEE35" w14:textId="77777777" w:rsidR="003D08F4" w:rsidRDefault="003D08F4" w:rsidP="00FD51A6">
            <w:pPr>
              <w:rPr>
                <w:sz w:val="24"/>
                <w:szCs w:val="24"/>
              </w:rPr>
            </w:pPr>
            <w:r>
              <w:rPr>
                <w:sz w:val="24"/>
                <w:szCs w:val="24"/>
              </w:rPr>
              <w:t>Expands State tax credit by $300 million and makes changes to increase value of credit.  Eliminates passive loss limits for individual taxpayers to expand pool of potential buyers.</w:t>
            </w:r>
          </w:p>
          <w:p w14:paraId="11E15D1F" w14:textId="77777777" w:rsidR="003D08F4" w:rsidRDefault="003D08F4" w:rsidP="00FD51A6">
            <w:pPr>
              <w:rPr>
                <w:sz w:val="24"/>
                <w:szCs w:val="24"/>
              </w:rPr>
            </w:pPr>
          </w:p>
          <w:p w14:paraId="0DBE1707" w14:textId="77777777" w:rsidR="003D08F4" w:rsidRDefault="003D08F4" w:rsidP="00CC628A">
            <w:pPr>
              <w:rPr>
                <w:b/>
                <w:sz w:val="24"/>
                <w:szCs w:val="24"/>
              </w:rPr>
            </w:pPr>
            <w:r>
              <w:rPr>
                <w:b/>
                <w:sz w:val="24"/>
                <w:szCs w:val="24"/>
              </w:rPr>
              <w:t>CHC &amp; NPH Support</w:t>
            </w:r>
          </w:p>
          <w:p w14:paraId="508613D3" w14:textId="77777777" w:rsidR="003D08F4" w:rsidRDefault="003D08F4" w:rsidP="00FD51A6">
            <w:pPr>
              <w:rPr>
                <w:sz w:val="24"/>
                <w:szCs w:val="24"/>
              </w:rPr>
            </w:pPr>
          </w:p>
        </w:tc>
        <w:tc>
          <w:tcPr>
            <w:tcW w:w="2715" w:type="dxa"/>
          </w:tcPr>
          <w:p w14:paraId="42B36CE7" w14:textId="77777777" w:rsidR="003D08F4" w:rsidRDefault="003D08F4" w:rsidP="00F0754A">
            <w:pPr>
              <w:rPr>
                <w:b/>
                <w:sz w:val="24"/>
                <w:szCs w:val="24"/>
              </w:rPr>
            </w:pPr>
            <w:r>
              <w:rPr>
                <w:b/>
                <w:sz w:val="24"/>
                <w:szCs w:val="24"/>
              </w:rPr>
              <w:t>Support</w:t>
            </w:r>
          </w:p>
          <w:p w14:paraId="7865BF4B" w14:textId="77777777" w:rsidR="003D08F4" w:rsidRPr="00CA07B5" w:rsidRDefault="003D08F4" w:rsidP="00F0754A">
            <w:pPr>
              <w:rPr>
                <w:sz w:val="24"/>
                <w:szCs w:val="24"/>
                <w:u w:val="single"/>
              </w:rPr>
            </w:pPr>
            <w:r>
              <w:rPr>
                <w:sz w:val="24"/>
                <w:szCs w:val="24"/>
              </w:rPr>
              <w:t xml:space="preserve">Passed H&amp;CD, referred to </w:t>
            </w:r>
            <w:proofErr w:type="spellStart"/>
            <w:r>
              <w:rPr>
                <w:sz w:val="24"/>
                <w:szCs w:val="24"/>
              </w:rPr>
              <w:t>Rev&amp;Tax</w:t>
            </w:r>
            <w:proofErr w:type="spellEnd"/>
          </w:p>
        </w:tc>
      </w:tr>
      <w:tr w:rsidR="003D08F4" w:rsidRPr="00CA07B5" w14:paraId="24A60BC6" w14:textId="77777777" w:rsidTr="00892ECC">
        <w:trPr>
          <w:cantSplit/>
        </w:trPr>
        <w:tc>
          <w:tcPr>
            <w:tcW w:w="1516" w:type="dxa"/>
          </w:tcPr>
          <w:p w14:paraId="317E9D5C" w14:textId="77777777" w:rsidR="003D08F4" w:rsidRPr="00CC628A" w:rsidRDefault="003D08F4">
            <w:pPr>
              <w:rPr>
                <w:b/>
                <w:sz w:val="24"/>
                <w:szCs w:val="24"/>
              </w:rPr>
            </w:pPr>
            <w:r w:rsidRPr="00CC628A">
              <w:rPr>
                <w:b/>
                <w:sz w:val="24"/>
                <w:szCs w:val="24"/>
              </w:rPr>
              <w:t>AB 3152 *</w:t>
            </w:r>
          </w:p>
        </w:tc>
        <w:tc>
          <w:tcPr>
            <w:tcW w:w="1838" w:type="dxa"/>
          </w:tcPr>
          <w:p w14:paraId="61678DB0" w14:textId="77777777" w:rsidR="003D08F4" w:rsidRDefault="003D08F4">
            <w:pPr>
              <w:rPr>
                <w:sz w:val="24"/>
                <w:szCs w:val="24"/>
              </w:rPr>
            </w:pPr>
            <w:r>
              <w:rPr>
                <w:sz w:val="24"/>
                <w:szCs w:val="24"/>
              </w:rPr>
              <w:t>Chiu</w:t>
            </w:r>
          </w:p>
        </w:tc>
        <w:tc>
          <w:tcPr>
            <w:tcW w:w="3754" w:type="dxa"/>
          </w:tcPr>
          <w:p w14:paraId="5CB38CC6" w14:textId="77777777" w:rsidR="003D08F4" w:rsidRPr="00CC628A" w:rsidRDefault="003D08F4">
            <w:pPr>
              <w:rPr>
                <w:b/>
                <w:sz w:val="24"/>
                <w:szCs w:val="24"/>
              </w:rPr>
            </w:pPr>
            <w:r w:rsidRPr="00CC628A">
              <w:rPr>
                <w:b/>
                <w:sz w:val="24"/>
                <w:szCs w:val="24"/>
              </w:rPr>
              <w:t>Welfare Tax Exemption</w:t>
            </w:r>
          </w:p>
        </w:tc>
        <w:tc>
          <w:tcPr>
            <w:tcW w:w="4752" w:type="dxa"/>
          </w:tcPr>
          <w:p w14:paraId="6F2C8116" w14:textId="77777777" w:rsidR="003D08F4" w:rsidRDefault="003D08F4" w:rsidP="00FD51A6">
            <w:pPr>
              <w:rPr>
                <w:sz w:val="24"/>
                <w:szCs w:val="24"/>
              </w:rPr>
            </w:pPr>
            <w:r>
              <w:rPr>
                <w:sz w:val="24"/>
                <w:szCs w:val="24"/>
              </w:rPr>
              <w:t>Expand Welfare Tax Exemption to moderate income.  Targeted to high cost areas.</w:t>
            </w:r>
          </w:p>
        </w:tc>
        <w:tc>
          <w:tcPr>
            <w:tcW w:w="2715" w:type="dxa"/>
          </w:tcPr>
          <w:p w14:paraId="19611E2F" w14:textId="77777777" w:rsidR="003D08F4" w:rsidRDefault="003D08F4" w:rsidP="00F0754A">
            <w:pPr>
              <w:rPr>
                <w:b/>
                <w:sz w:val="24"/>
                <w:szCs w:val="24"/>
              </w:rPr>
            </w:pPr>
            <w:r w:rsidRPr="00892ECC">
              <w:rPr>
                <w:b/>
                <w:sz w:val="24"/>
                <w:szCs w:val="24"/>
              </w:rPr>
              <w:t>None Yet</w:t>
            </w:r>
          </w:p>
          <w:p w14:paraId="3DCFA7D9" w14:textId="77777777" w:rsidR="003D08F4" w:rsidRDefault="003D08F4" w:rsidP="00F0754A">
            <w:pPr>
              <w:rPr>
                <w:b/>
                <w:sz w:val="24"/>
                <w:szCs w:val="24"/>
              </w:rPr>
            </w:pPr>
          </w:p>
          <w:p w14:paraId="62670134" w14:textId="77777777" w:rsidR="003D08F4" w:rsidRPr="00CA07B5" w:rsidRDefault="003D08F4" w:rsidP="00F0754A">
            <w:pPr>
              <w:rPr>
                <w:sz w:val="24"/>
                <w:szCs w:val="24"/>
                <w:u w:val="single"/>
              </w:rPr>
            </w:pPr>
            <w:r>
              <w:rPr>
                <w:sz w:val="24"/>
                <w:szCs w:val="24"/>
              </w:rPr>
              <w:t>Passed by Rev &amp; Tax, pending H &amp; CD.</w:t>
            </w:r>
          </w:p>
        </w:tc>
      </w:tr>
      <w:tr w:rsidR="003D08F4" w:rsidRPr="00CA07B5" w14:paraId="0DD3EC25" w14:textId="77777777" w:rsidTr="00892ECC">
        <w:trPr>
          <w:cantSplit/>
        </w:trPr>
        <w:tc>
          <w:tcPr>
            <w:tcW w:w="1516" w:type="dxa"/>
          </w:tcPr>
          <w:p w14:paraId="111E6347" w14:textId="77777777" w:rsidR="003D08F4" w:rsidRPr="00CC628A" w:rsidRDefault="003D08F4" w:rsidP="00362E32">
            <w:pPr>
              <w:rPr>
                <w:b/>
                <w:sz w:val="24"/>
                <w:szCs w:val="24"/>
              </w:rPr>
            </w:pPr>
            <w:r w:rsidRPr="00CC628A">
              <w:rPr>
                <w:b/>
                <w:sz w:val="24"/>
                <w:szCs w:val="24"/>
              </w:rPr>
              <w:t>SB 1010</w:t>
            </w:r>
          </w:p>
        </w:tc>
        <w:tc>
          <w:tcPr>
            <w:tcW w:w="1838" w:type="dxa"/>
          </w:tcPr>
          <w:p w14:paraId="55D3650C" w14:textId="77777777" w:rsidR="003D08F4" w:rsidRDefault="003D08F4" w:rsidP="00362E32">
            <w:pPr>
              <w:rPr>
                <w:sz w:val="24"/>
                <w:szCs w:val="24"/>
              </w:rPr>
            </w:pPr>
            <w:r>
              <w:rPr>
                <w:sz w:val="24"/>
                <w:szCs w:val="24"/>
              </w:rPr>
              <w:t>Beall</w:t>
            </w:r>
          </w:p>
        </w:tc>
        <w:tc>
          <w:tcPr>
            <w:tcW w:w="3754" w:type="dxa"/>
          </w:tcPr>
          <w:p w14:paraId="29D8576D" w14:textId="77777777" w:rsidR="003D08F4" w:rsidRPr="00CC628A" w:rsidRDefault="003D08F4" w:rsidP="00362E32">
            <w:pPr>
              <w:rPr>
                <w:b/>
                <w:sz w:val="24"/>
                <w:szCs w:val="24"/>
              </w:rPr>
            </w:pPr>
            <w:r w:rsidRPr="00CC628A">
              <w:rPr>
                <w:b/>
                <w:sz w:val="24"/>
                <w:szCs w:val="24"/>
              </w:rPr>
              <w:t>Parolees – Supportive Housing Pilot Program</w:t>
            </w:r>
          </w:p>
        </w:tc>
        <w:tc>
          <w:tcPr>
            <w:tcW w:w="4752" w:type="dxa"/>
          </w:tcPr>
          <w:p w14:paraId="6B9EB0CF" w14:textId="77777777" w:rsidR="003D08F4" w:rsidRPr="00CC628A" w:rsidRDefault="003D08F4" w:rsidP="00362E32">
            <w:pPr>
              <w:rPr>
                <w:sz w:val="24"/>
                <w:szCs w:val="24"/>
              </w:rPr>
            </w:pPr>
            <w:r w:rsidRPr="00CC628A">
              <w:rPr>
                <w:sz w:val="24"/>
                <w:szCs w:val="24"/>
              </w:rPr>
              <w:t>Establishes pilot program for supportive housing for parolees with mental illness.</w:t>
            </w:r>
          </w:p>
          <w:p w14:paraId="41F1E897" w14:textId="77777777" w:rsidR="003D08F4" w:rsidRPr="00CC628A" w:rsidRDefault="003D08F4" w:rsidP="00362E32">
            <w:pPr>
              <w:rPr>
                <w:sz w:val="24"/>
                <w:szCs w:val="24"/>
              </w:rPr>
            </w:pPr>
          </w:p>
          <w:p w14:paraId="7874B834" w14:textId="77777777" w:rsidR="003D08F4" w:rsidRPr="00CC628A" w:rsidRDefault="003D08F4" w:rsidP="00CC628A">
            <w:pPr>
              <w:pStyle w:val="Default"/>
              <w:rPr>
                <w:rFonts w:asciiTheme="minorHAnsi" w:hAnsiTheme="minorHAnsi"/>
              </w:rPr>
            </w:pPr>
            <w:r w:rsidRPr="00CC628A">
              <w:rPr>
                <w:rFonts w:asciiTheme="minorHAnsi" w:hAnsiTheme="minorHAnsi" w:cstheme="minorBidi"/>
                <w:color w:val="auto"/>
              </w:rPr>
              <w:t xml:space="preserve">Supported by:  </w:t>
            </w:r>
            <w:r w:rsidRPr="00CC628A">
              <w:rPr>
                <w:rFonts w:asciiTheme="minorHAnsi" w:hAnsiTheme="minorHAnsi"/>
              </w:rPr>
              <w:t>ACLU of California; Anti-Recidivism Coalition; California Catholic Conference; California Correctional Peace Officers Association; Disability Rights California; Non-Profit Housing Association of Northern California; Steinberg Institute</w:t>
            </w:r>
            <w:r>
              <w:rPr>
                <w:rFonts w:asciiTheme="minorHAnsi" w:hAnsiTheme="minorHAnsi"/>
              </w:rPr>
              <w:br/>
            </w:r>
            <w:r>
              <w:rPr>
                <w:rFonts w:asciiTheme="minorHAnsi" w:hAnsiTheme="minorHAnsi"/>
              </w:rPr>
              <w:br/>
              <w:t>No known opposition</w:t>
            </w:r>
          </w:p>
        </w:tc>
        <w:tc>
          <w:tcPr>
            <w:tcW w:w="2715" w:type="dxa"/>
          </w:tcPr>
          <w:p w14:paraId="30CB8A71" w14:textId="77777777" w:rsidR="003D08F4" w:rsidRDefault="003D08F4" w:rsidP="00362E32">
            <w:pPr>
              <w:rPr>
                <w:b/>
                <w:sz w:val="24"/>
                <w:szCs w:val="24"/>
              </w:rPr>
            </w:pPr>
            <w:r>
              <w:rPr>
                <w:b/>
                <w:sz w:val="24"/>
                <w:szCs w:val="24"/>
              </w:rPr>
              <w:t>Support</w:t>
            </w:r>
          </w:p>
          <w:p w14:paraId="0B8AEC18" w14:textId="77777777" w:rsidR="003D08F4" w:rsidRDefault="003D08F4" w:rsidP="00362E32">
            <w:pPr>
              <w:rPr>
                <w:b/>
                <w:sz w:val="24"/>
                <w:szCs w:val="24"/>
              </w:rPr>
            </w:pPr>
          </w:p>
          <w:p w14:paraId="6B8FFC6E" w14:textId="77777777" w:rsidR="003D08F4" w:rsidRPr="00CC628A" w:rsidRDefault="003D08F4" w:rsidP="00362E32">
            <w:pPr>
              <w:rPr>
                <w:sz w:val="24"/>
                <w:szCs w:val="24"/>
              </w:rPr>
            </w:pPr>
            <w:r w:rsidRPr="00CC628A">
              <w:rPr>
                <w:sz w:val="24"/>
                <w:szCs w:val="24"/>
              </w:rPr>
              <w:t xml:space="preserve">Passed by Public Safety.  Referred to </w:t>
            </w:r>
            <w:proofErr w:type="spellStart"/>
            <w:r w:rsidRPr="00CC628A">
              <w:rPr>
                <w:sz w:val="24"/>
                <w:szCs w:val="24"/>
              </w:rPr>
              <w:t>APprops</w:t>
            </w:r>
            <w:proofErr w:type="spellEnd"/>
            <w:r w:rsidRPr="00CC628A">
              <w:rPr>
                <w:sz w:val="24"/>
                <w:szCs w:val="24"/>
              </w:rPr>
              <w:t>.  On suspense.</w:t>
            </w:r>
          </w:p>
        </w:tc>
      </w:tr>
      <w:tr w:rsidR="003D08F4" w:rsidRPr="00CA07B5" w14:paraId="7868B021" w14:textId="77777777" w:rsidTr="00892ECC">
        <w:trPr>
          <w:cantSplit/>
        </w:trPr>
        <w:tc>
          <w:tcPr>
            <w:tcW w:w="1516" w:type="dxa"/>
          </w:tcPr>
          <w:p w14:paraId="1616F560" w14:textId="77777777" w:rsidR="003D08F4" w:rsidRPr="00CC628A" w:rsidRDefault="003D08F4" w:rsidP="00362E32">
            <w:pPr>
              <w:rPr>
                <w:b/>
                <w:sz w:val="24"/>
                <w:szCs w:val="24"/>
              </w:rPr>
            </w:pPr>
            <w:r w:rsidRPr="00CC628A">
              <w:rPr>
                <w:b/>
                <w:sz w:val="24"/>
                <w:szCs w:val="24"/>
              </w:rPr>
              <w:lastRenderedPageBreak/>
              <w:t>SB 1206</w:t>
            </w:r>
          </w:p>
        </w:tc>
        <w:tc>
          <w:tcPr>
            <w:tcW w:w="1838" w:type="dxa"/>
          </w:tcPr>
          <w:p w14:paraId="09D0249E" w14:textId="3017332B" w:rsidR="003D08F4" w:rsidRDefault="003D08F4" w:rsidP="00362E32">
            <w:pPr>
              <w:rPr>
                <w:sz w:val="24"/>
                <w:szCs w:val="24"/>
              </w:rPr>
            </w:pPr>
            <w:r>
              <w:rPr>
                <w:sz w:val="24"/>
                <w:szCs w:val="24"/>
              </w:rPr>
              <w:t xml:space="preserve">De Léon, </w:t>
            </w:r>
            <w:proofErr w:type="spellStart"/>
            <w:r>
              <w:rPr>
                <w:sz w:val="24"/>
                <w:szCs w:val="24"/>
              </w:rPr>
              <w:t>Moorlach</w:t>
            </w:r>
            <w:proofErr w:type="spellEnd"/>
          </w:p>
        </w:tc>
        <w:tc>
          <w:tcPr>
            <w:tcW w:w="3754" w:type="dxa"/>
          </w:tcPr>
          <w:p w14:paraId="1119727B" w14:textId="77777777" w:rsidR="003D08F4" w:rsidRPr="00CC628A" w:rsidRDefault="003D08F4" w:rsidP="00362E32">
            <w:pPr>
              <w:rPr>
                <w:b/>
                <w:sz w:val="24"/>
                <w:szCs w:val="24"/>
              </w:rPr>
            </w:pPr>
            <w:r w:rsidRPr="00CC628A">
              <w:rPr>
                <w:b/>
                <w:sz w:val="24"/>
                <w:szCs w:val="24"/>
              </w:rPr>
              <w:t>No Place Like Home Bond</w:t>
            </w:r>
          </w:p>
        </w:tc>
        <w:tc>
          <w:tcPr>
            <w:tcW w:w="4752" w:type="dxa"/>
          </w:tcPr>
          <w:p w14:paraId="18498B30" w14:textId="77777777" w:rsidR="003D08F4" w:rsidRDefault="003D08F4" w:rsidP="003D08F4">
            <w:pPr>
              <w:rPr>
                <w:sz w:val="24"/>
                <w:szCs w:val="24"/>
              </w:rPr>
            </w:pPr>
            <w:r>
              <w:rPr>
                <w:sz w:val="24"/>
                <w:szCs w:val="24"/>
              </w:rPr>
              <w:t>In 2016, Governor Brown established the No Place Like Home Program to be funded with bonds backed by MHSA revenue.   There is a legal challenge that says this needs voter approval and can’t be done by fiat.  This measure would submit NPLH for voter approval.</w:t>
            </w:r>
          </w:p>
          <w:p w14:paraId="586D743F" w14:textId="77777777" w:rsidR="003D08F4" w:rsidRDefault="003D08F4" w:rsidP="003D08F4">
            <w:pPr>
              <w:rPr>
                <w:sz w:val="24"/>
                <w:szCs w:val="24"/>
              </w:rPr>
            </w:pPr>
          </w:p>
          <w:p w14:paraId="7A117D7C" w14:textId="77777777" w:rsidR="003D08F4" w:rsidRPr="0088618A" w:rsidRDefault="003D08F4" w:rsidP="003D08F4">
            <w:pPr>
              <w:rPr>
                <w:b/>
                <w:sz w:val="24"/>
                <w:szCs w:val="24"/>
              </w:rPr>
            </w:pPr>
            <w:r w:rsidRPr="0088618A">
              <w:rPr>
                <w:b/>
                <w:sz w:val="24"/>
                <w:szCs w:val="24"/>
              </w:rPr>
              <w:t>There are some concerns about whether this measure would be in competition with the November housing bond, and whether it increases risk of legal challenge to legitimacy of previous funding</w:t>
            </w:r>
          </w:p>
        </w:tc>
        <w:tc>
          <w:tcPr>
            <w:tcW w:w="2715" w:type="dxa"/>
          </w:tcPr>
          <w:p w14:paraId="0C07EDC5" w14:textId="77777777" w:rsidR="003D08F4" w:rsidRDefault="003D08F4" w:rsidP="00362E32">
            <w:pPr>
              <w:rPr>
                <w:sz w:val="24"/>
                <w:szCs w:val="24"/>
              </w:rPr>
            </w:pPr>
            <w:r>
              <w:rPr>
                <w:b/>
                <w:sz w:val="24"/>
                <w:szCs w:val="24"/>
              </w:rPr>
              <w:t>Watch</w:t>
            </w:r>
          </w:p>
          <w:p w14:paraId="27394B73" w14:textId="77777777" w:rsidR="003D08F4" w:rsidRDefault="003D08F4" w:rsidP="00362E32">
            <w:pPr>
              <w:rPr>
                <w:sz w:val="24"/>
                <w:szCs w:val="24"/>
              </w:rPr>
            </w:pPr>
          </w:p>
          <w:p w14:paraId="5C104D0C" w14:textId="77777777" w:rsidR="003D08F4" w:rsidRPr="003D08F4" w:rsidRDefault="003D08F4" w:rsidP="00362E32">
            <w:pPr>
              <w:rPr>
                <w:sz w:val="24"/>
                <w:szCs w:val="24"/>
              </w:rPr>
            </w:pPr>
            <w:r>
              <w:rPr>
                <w:sz w:val="24"/>
                <w:szCs w:val="24"/>
              </w:rPr>
              <w:t xml:space="preserve">Passed by Health.  Referred to </w:t>
            </w:r>
            <w:proofErr w:type="spellStart"/>
            <w:r>
              <w:rPr>
                <w:sz w:val="24"/>
                <w:szCs w:val="24"/>
              </w:rPr>
              <w:t>Approps</w:t>
            </w:r>
            <w:proofErr w:type="spellEnd"/>
            <w:r>
              <w:rPr>
                <w:sz w:val="24"/>
                <w:szCs w:val="24"/>
              </w:rPr>
              <w:t>.</w:t>
            </w:r>
          </w:p>
        </w:tc>
      </w:tr>
      <w:tr w:rsidR="003D08F4" w:rsidRPr="00CA07B5" w14:paraId="71378700" w14:textId="77777777" w:rsidTr="00892ECC">
        <w:trPr>
          <w:cantSplit/>
        </w:trPr>
        <w:tc>
          <w:tcPr>
            <w:tcW w:w="1516" w:type="dxa"/>
            <w:shd w:val="clear" w:color="auto" w:fill="auto"/>
          </w:tcPr>
          <w:p w14:paraId="6339DBF8" w14:textId="14B35D27" w:rsidR="003D08F4" w:rsidRPr="00CC628A" w:rsidRDefault="003D08F4" w:rsidP="00E144C0">
            <w:pPr>
              <w:rPr>
                <w:b/>
                <w:sz w:val="24"/>
                <w:szCs w:val="24"/>
              </w:rPr>
            </w:pPr>
            <w:r w:rsidRPr="00CC628A">
              <w:rPr>
                <w:b/>
                <w:sz w:val="24"/>
                <w:szCs w:val="24"/>
              </w:rPr>
              <w:t>SB 1333</w:t>
            </w:r>
          </w:p>
        </w:tc>
        <w:tc>
          <w:tcPr>
            <w:tcW w:w="1838" w:type="dxa"/>
            <w:shd w:val="clear" w:color="auto" w:fill="auto"/>
          </w:tcPr>
          <w:p w14:paraId="3DB8AE35" w14:textId="77777777" w:rsidR="003D08F4" w:rsidRPr="00CA07B5" w:rsidRDefault="003D08F4" w:rsidP="00E144C0">
            <w:pPr>
              <w:rPr>
                <w:sz w:val="24"/>
                <w:szCs w:val="24"/>
              </w:rPr>
            </w:pPr>
            <w:proofErr w:type="spellStart"/>
            <w:r>
              <w:rPr>
                <w:sz w:val="24"/>
                <w:szCs w:val="24"/>
              </w:rPr>
              <w:t>Wieckowski</w:t>
            </w:r>
            <w:proofErr w:type="spellEnd"/>
          </w:p>
        </w:tc>
        <w:tc>
          <w:tcPr>
            <w:tcW w:w="3754" w:type="dxa"/>
            <w:shd w:val="clear" w:color="auto" w:fill="auto"/>
          </w:tcPr>
          <w:p w14:paraId="70FFFD6B" w14:textId="77777777" w:rsidR="003D08F4" w:rsidRPr="00CC628A" w:rsidRDefault="003D08F4" w:rsidP="00E144C0">
            <w:pPr>
              <w:rPr>
                <w:b/>
                <w:sz w:val="24"/>
                <w:szCs w:val="24"/>
              </w:rPr>
            </w:pPr>
            <w:r w:rsidRPr="00CC628A">
              <w:rPr>
                <w:b/>
                <w:sz w:val="24"/>
                <w:szCs w:val="24"/>
              </w:rPr>
              <w:t>Planning &amp; Zoning – Charter Cities</w:t>
            </w:r>
          </w:p>
        </w:tc>
        <w:tc>
          <w:tcPr>
            <w:tcW w:w="4752" w:type="dxa"/>
            <w:shd w:val="clear" w:color="auto" w:fill="auto"/>
          </w:tcPr>
          <w:p w14:paraId="27A9EDBB" w14:textId="77777777" w:rsidR="003D08F4" w:rsidRPr="00CA07B5" w:rsidRDefault="003D08F4" w:rsidP="00E144C0">
            <w:pPr>
              <w:rPr>
                <w:sz w:val="24"/>
                <w:szCs w:val="24"/>
              </w:rPr>
            </w:pPr>
            <w:r>
              <w:rPr>
                <w:sz w:val="24"/>
                <w:szCs w:val="24"/>
              </w:rPr>
              <w:t>Ensures that State Planning &amp; Zoning laws apply to charter cities.  Specifically ensures that charter cities cannot adopt/amend specific plans in ways that are in conflict with Housing Element.</w:t>
            </w:r>
          </w:p>
        </w:tc>
        <w:tc>
          <w:tcPr>
            <w:tcW w:w="2715" w:type="dxa"/>
            <w:shd w:val="clear" w:color="auto" w:fill="auto"/>
          </w:tcPr>
          <w:p w14:paraId="3D11DC27" w14:textId="77777777" w:rsidR="003D08F4" w:rsidRPr="00F5631A" w:rsidRDefault="003D08F4" w:rsidP="00E144C0">
            <w:pPr>
              <w:rPr>
                <w:b/>
                <w:sz w:val="24"/>
                <w:szCs w:val="24"/>
              </w:rPr>
            </w:pPr>
            <w:r>
              <w:rPr>
                <w:b/>
                <w:sz w:val="24"/>
                <w:szCs w:val="24"/>
              </w:rPr>
              <w:t>Watch</w:t>
            </w:r>
          </w:p>
        </w:tc>
      </w:tr>
      <w:tr w:rsidR="003D08F4" w:rsidRPr="00CA07B5" w14:paraId="328F7585" w14:textId="77777777" w:rsidTr="00892ECC">
        <w:trPr>
          <w:cantSplit/>
        </w:trPr>
        <w:tc>
          <w:tcPr>
            <w:tcW w:w="1516" w:type="dxa"/>
          </w:tcPr>
          <w:p w14:paraId="7A430C19" w14:textId="77777777" w:rsidR="003D08F4" w:rsidRPr="00CC628A" w:rsidRDefault="003D08F4" w:rsidP="00E144C0">
            <w:pPr>
              <w:rPr>
                <w:b/>
                <w:sz w:val="24"/>
                <w:szCs w:val="24"/>
              </w:rPr>
            </w:pPr>
            <w:r w:rsidRPr="00CC628A">
              <w:rPr>
                <w:b/>
                <w:sz w:val="24"/>
                <w:szCs w:val="24"/>
              </w:rPr>
              <w:t xml:space="preserve">SB 1340 </w:t>
            </w:r>
          </w:p>
        </w:tc>
        <w:tc>
          <w:tcPr>
            <w:tcW w:w="1838" w:type="dxa"/>
          </w:tcPr>
          <w:p w14:paraId="79341A15" w14:textId="77777777" w:rsidR="003D08F4" w:rsidRPr="00CA07B5" w:rsidRDefault="003D08F4" w:rsidP="00E144C0">
            <w:pPr>
              <w:rPr>
                <w:sz w:val="24"/>
                <w:szCs w:val="24"/>
              </w:rPr>
            </w:pPr>
            <w:r>
              <w:rPr>
                <w:sz w:val="24"/>
                <w:szCs w:val="24"/>
              </w:rPr>
              <w:t>Glazer</w:t>
            </w:r>
          </w:p>
        </w:tc>
        <w:tc>
          <w:tcPr>
            <w:tcW w:w="3754" w:type="dxa"/>
          </w:tcPr>
          <w:p w14:paraId="5ED99355" w14:textId="77777777" w:rsidR="003D08F4" w:rsidRPr="00CC628A" w:rsidRDefault="003D08F4" w:rsidP="00E144C0">
            <w:pPr>
              <w:rPr>
                <w:b/>
                <w:sz w:val="24"/>
                <w:szCs w:val="24"/>
              </w:rPr>
            </w:pPr>
            <w:r w:rsidRPr="00CC628A">
              <w:rPr>
                <w:b/>
                <w:sz w:val="24"/>
                <w:szCs w:val="24"/>
              </w:rPr>
              <w:t>CEQA</w:t>
            </w:r>
          </w:p>
        </w:tc>
        <w:tc>
          <w:tcPr>
            <w:tcW w:w="4752" w:type="dxa"/>
          </w:tcPr>
          <w:p w14:paraId="5BF61FE2" w14:textId="77777777" w:rsidR="003D08F4" w:rsidRDefault="003D08F4" w:rsidP="00E144C0">
            <w:pPr>
              <w:rPr>
                <w:sz w:val="24"/>
                <w:szCs w:val="24"/>
              </w:rPr>
            </w:pPr>
            <w:r>
              <w:rPr>
                <w:sz w:val="24"/>
                <w:szCs w:val="24"/>
              </w:rPr>
              <w:t>Requires that CEQA suits re: housing projects be adjudicated within 270 days and limits ability of judges to halt construction activity pending adjudication except under very narrow circumstances.</w:t>
            </w:r>
          </w:p>
          <w:p w14:paraId="0C32128C" w14:textId="77777777" w:rsidR="003D08F4" w:rsidRDefault="003D08F4" w:rsidP="00E144C0">
            <w:pPr>
              <w:rPr>
                <w:sz w:val="24"/>
                <w:szCs w:val="24"/>
              </w:rPr>
            </w:pPr>
          </w:p>
          <w:p w14:paraId="77FE387B" w14:textId="77777777" w:rsidR="003D08F4" w:rsidRPr="00CC628A" w:rsidRDefault="003D08F4" w:rsidP="00E144C0">
            <w:pPr>
              <w:rPr>
                <w:b/>
                <w:sz w:val="24"/>
                <w:szCs w:val="24"/>
              </w:rPr>
            </w:pPr>
            <w:r w:rsidRPr="00CC628A">
              <w:rPr>
                <w:b/>
                <w:sz w:val="24"/>
                <w:szCs w:val="24"/>
              </w:rPr>
              <w:t>Supported by for-profit builders and some AH groups including NPH.  Opposed by Sierra Club and CLCV.  The extent to which CEQA is an actual barrier to housing is disputed.</w:t>
            </w:r>
          </w:p>
        </w:tc>
        <w:tc>
          <w:tcPr>
            <w:tcW w:w="2715" w:type="dxa"/>
          </w:tcPr>
          <w:p w14:paraId="6EC9CCA7" w14:textId="77777777" w:rsidR="003D08F4" w:rsidRDefault="003D08F4" w:rsidP="00E144C0">
            <w:pPr>
              <w:rPr>
                <w:sz w:val="24"/>
                <w:szCs w:val="24"/>
              </w:rPr>
            </w:pPr>
            <w:r w:rsidRPr="000979CD">
              <w:rPr>
                <w:b/>
                <w:sz w:val="24"/>
                <w:szCs w:val="24"/>
              </w:rPr>
              <w:t>None Yet</w:t>
            </w:r>
          </w:p>
          <w:p w14:paraId="4EBD1A2E" w14:textId="77777777" w:rsidR="003D08F4" w:rsidRDefault="003D08F4" w:rsidP="00E144C0">
            <w:pPr>
              <w:rPr>
                <w:sz w:val="24"/>
                <w:szCs w:val="24"/>
              </w:rPr>
            </w:pPr>
          </w:p>
          <w:p w14:paraId="47A225C3" w14:textId="77777777" w:rsidR="003D08F4" w:rsidRPr="000979CD" w:rsidRDefault="003D08F4" w:rsidP="005207ED">
            <w:pPr>
              <w:rPr>
                <w:sz w:val="24"/>
                <w:szCs w:val="24"/>
              </w:rPr>
            </w:pPr>
            <w:r>
              <w:rPr>
                <w:sz w:val="24"/>
                <w:szCs w:val="24"/>
              </w:rPr>
              <w:t>Failed in Judiciary Committee but can be reconsidered.  Pending for Environ. Quality committee too.</w:t>
            </w:r>
            <w:r>
              <w:rPr>
                <w:sz w:val="24"/>
                <w:szCs w:val="24"/>
              </w:rPr>
              <w:br/>
            </w:r>
          </w:p>
        </w:tc>
      </w:tr>
      <w:tr w:rsidR="003D08F4" w:rsidRPr="00CA07B5" w14:paraId="2E4FBD11" w14:textId="77777777" w:rsidTr="00892ECC">
        <w:trPr>
          <w:cantSplit/>
        </w:trPr>
        <w:tc>
          <w:tcPr>
            <w:tcW w:w="1516" w:type="dxa"/>
          </w:tcPr>
          <w:p w14:paraId="449C3453" w14:textId="77777777" w:rsidR="003D08F4" w:rsidRPr="00CC628A" w:rsidRDefault="003D08F4" w:rsidP="00E144C0">
            <w:pPr>
              <w:rPr>
                <w:b/>
                <w:sz w:val="24"/>
                <w:szCs w:val="24"/>
              </w:rPr>
            </w:pPr>
            <w:r w:rsidRPr="00CC628A">
              <w:rPr>
                <w:b/>
                <w:sz w:val="24"/>
                <w:szCs w:val="24"/>
              </w:rPr>
              <w:t>SB 1341</w:t>
            </w:r>
          </w:p>
        </w:tc>
        <w:tc>
          <w:tcPr>
            <w:tcW w:w="1838" w:type="dxa"/>
          </w:tcPr>
          <w:p w14:paraId="37903928" w14:textId="77777777" w:rsidR="003D08F4" w:rsidRDefault="003D08F4" w:rsidP="00E144C0">
            <w:pPr>
              <w:rPr>
                <w:sz w:val="24"/>
                <w:szCs w:val="24"/>
              </w:rPr>
            </w:pPr>
            <w:r>
              <w:rPr>
                <w:sz w:val="24"/>
                <w:szCs w:val="24"/>
              </w:rPr>
              <w:t>Glazer</w:t>
            </w:r>
          </w:p>
        </w:tc>
        <w:tc>
          <w:tcPr>
            <w:tcW w:w="3754" w:type="dxa"/>
          </w:tcPr>
          <w:p w14:paraId="32ED87AD" w14:textId="77777777" w:rsidR="003D08F4" w:rsidRPr="00CC628A" w:rsidRDefault="003D08F4" w:rsidP="00E144C0">
            <w:pPr>
              <w:rPr>
                <w:b/>
                <w:sz w:val="24"/>
                <w:szCs w:val="24"/>
              </w:rPr>
            </w:pPr>
            <w:r w:rsidRPr="00CC628A">
              <w:rPr>
                <w:b/>
                <w:sz w:val="24"/>
                <w:szCs w:val="24"/>
              </w:rPr>
              <w:t>CEQA</w:t>
            </w:r>
          </w:p>
        </w:tc>
        <w:tc>
          <w:tcPr>
            <w:tcW w:w="4752" w:type="dxa"/>
          </w:tcPr>
          <w:p w14:paraId="5D7AD103" w14:textId="77777777" w:rsidR="003D08F4" w:rsidRDefault="003D08F4" w:rsidP="00E144C0">
            <w:pPr>
              <w:rPr>
                <w:sz w:val="24"/>
                <w:szCs w:val="24"/>
              </w:rPr>
            </w:pPr>
            <w:r>
              <w:rPr>
                <w:sz w:val="24"/>
                <w:szCs w:val="24"/>
              </w:rPr>
              <w:t>Prohibits anonymous CEQA lawsuits.  Must disclose anyone contributing $1,000 or more, and any affected pecuniary interests they may have.</w:t>
            </w:r>
          </w:p>
        </w:tc>
        <w:tc>
          <w:tcPr>
            <w:tcW w:w="2715" w:type="dxa"/>
          </w:tcPr>
          <w:p w14:paraId="4BB13FC6" w14:textId="77777777" w:rsidR="003D08F4" w:rsidRDefault="003D08F4" w:rsidP="00E144C0">
            <w:pPr>
              <w:rPr>
                <w:sz w:val="24"/>
                <w:szCs w:val="24"/>
              </w:rPr>
            </w:pPr>
            <w:r>
              <w:rPr>
                <w:b/>
                <w:sz w:val="24"/>
                <w:szCs w:val="24"/>
              </w:rPr>
              <w:t>Watch</w:t>
            </w:r>
          </w:p>
          <w:p w14:paraId="69E8670B" w14:textId="77777777" w:rsidR="003D08F4" w:rsidRDefault="003D08F4" w:rsidP="00E144C0">
            <w:pPr>
              <w:rPr>
                <w:sz w:val="24"/>
                <w:szCs w:val="24"/>
              </w:rPr>
            </w:pPr>
          </w:p>
          <w:p w14:paraId="13C60237" w14:textId="77777777" w:rsidR="003D08F4" w:rsidRPr="000979CD" w:rsidRDefault="003D08F4" w:rsidP="00E144C0">
            <w:pPr>
              <w:rPr>
                <w:sz w:val="24"/>
                <w:szCs w:val="24"/>
              </w:rPr>
            </w:pPr>
            <w:r>
              <w:rPr>
                <w:sz w:val="24"/>
                <w:szCs w:val="24"/>
              </w:rPr>
              <w:t xml:space="preserve">Initial hearing was canceled.  </w:t>
            </w:r>
          </w:p>
        </w:tc>
      </w:tr>
      <w:tr w:rsidR="003D08F4" w:rsidRPr="00CA07B5" w14:paraId="7167FABC" w14:textId="77777777" w:rsidTr="00892ECC">
        <w:trPr>
          <w:cantSplit/>
        </w:trPr>
        <w:tc>
          <w:tcPr>
            <w:tcW w:w="1516" w:type="dxa"/>
            <w:shd w:val="clear" w:color="auto" w:fill="FFFF00"/>
          </w:tcPr>
          <w:p w14:paraId="4414FAC9" w14:textId="77777777" w:rsidR="003D08F4" w:rsidRPr="00CC628A" w:rsidRDefault="003D08F4">
            <w:pPr>
              <w:rPr>
                <w:b/>
                <w:sz w:val="24"/>
                <w:szCs w:val="24"/>
              </w:rPr>
            </w:pPr>
            <w:r w:rsidRPr="00CC628A">
              <w:rPr>
                <w:b/>
                <w:sz w:val="24"/>
                <w:szCs w:val="24"/>
              </w:rPr>
              <w:lastRenderedPageBreak/>
              <w:t>SB 827 *</w:t>
            </w:r>
          </w:p>
        </w:tc>
        <w:tc>
          <w:tcPr>
            <w:tcW w:w="1838" w:type="dxa"/>
            <w:shd w:val="clear" w:color="auto" w:fill="FFFF00"/>
          </w:tcPr>
          <w:p w14:paraId="73E5C10A" w14:textId="77777777" w:rsidR="003D08F4" w:rsidRPr="00CA07B5" w:rsidRDefault="003D08F4" w:rsidP="00AB4C87">
            <w:pPr>
              <w:rPr>
                <w:sz w:val="24"/>
                <w:szCs w:val="24"/>
              </w:rPr>
            </w:pPr>
            <w:r>
              <w:rPr>
                <w:sz w:val="24"/>
                <w:szCs w:val="24"/>
              </w:rPr>
              <w:t>Wiener, Skinner</w:t>
            </w:r>
          </w:p>
        </w:tc>
        <w:tc>
          <w:tcPr>
            <w:tcW w:w="3754" w:type="dxa"/>
            <w:shd w:val="clear" w:color="auto" w:fill="FFFF00"/>
          </w:tcPr>
          <w:p w14:paraId="502B9C89" w14:textId="77777777" w:rsidR="003D08F4" w:rsidRPr="00CC628A" w:rsidRDefault="003D08F4">
            <w:pPr>
              <w:rPr>
                <w:b/>
                <w:sz w:val="24"/>
                <w:szCs w:val="24"/>
              </w:rPr>
            </w:pPr>
            <w:r w:rsidRPr="00CC628A">
              <w:rPr>
                <w:b/>
                <w:sz w:val="24"/>
                <w:szCs w:val="24"/>
              </w:rPr>
              <w:t>Transit-Rich Housing Bonus</w:t>
            </w:r>
          </w:p>
        </w:tc>
        <w:tc>
          <w:tcPr>
            <w:tcW w:w="4752" w:type="dxa"/>
            <w:shd w:val="clear" w:color="auto" w:fill="FFFF00"/>
          </w:tcPr>
          <w:p w14:paraId="34211002" w14:textId="77777777" w:rsidR="003D08F4" w:rsidRPr="00CA07B5" w:rsidRDefault="003D08F4" w:rsidP="00F5631A">
            <w:pPr>
              <w:rPr>
                <w:sz w:val="24"/>
                <w:szCs w:val="24"/>
              </w:rPr>
            </w:pPr>
            <w:r>
              <w:rPr>
                <w:sz w:val="24"/>
                <w:szCs w:val="24"/>
              </w:rPr>
              <w:t>Overrides local zoning by eliminating maximum density, requiring minimum height limits and FARs.</w:t>
            </w:r>
          </w:p>
        </w:tc>
        <w:tc>
          <w:tcPr>
            <w:tcW w:w="2715" w:type="dxa"/>
            <w:shd w:val="clear" w:color="auto" w:fill="FFFF00"/>
          </w:tcPr>
          <w:p w14:paraId="736FE734" w14:textId="77777777" w:rsidR="003D08F4" w:rsidRDefault="003D08F4" w:rsidP="00C61B4E">
            <w:pPr>
              <w:rPr>
                <w:b/>
                <w:sz w:val="24"/>
                <w:szCs w:val="24"/>
              </w:rPr>
            </w:pPr>
            <w:r w:rsidRPr="00F5631A">
              <w:rPr>
                <w:b/>
                <w:sz w:val="24"/>
                <w:szCs w:val="24"/>
              </w:rPr>
              <w:t xml:space="preserve">EBHO </w:t>
            </w:r>
            <w:r>
              <w:rPr>
                <w:b/>
                <w:sz w:val="24"/>
                <w:szCs w:val="24"/>
              </w:rPr>
              <w:t xml:space="preserve">Oppose Unless Amended.  </w:t>
            </w:r>
          </w:p>
          <w:p w14:paraId="2705A4DC" w14:textId="77777777" w:rsidR="003D08F4" w:rsidRDefault="003D08F4" w:rsidP="00C61B4E">
            <w:pPr>
              <w:rPr>
                <w:sz w:val="24"/>
                <w:szCs w:val="24"/>
              </w:rPr>
            </w:pPr>
          </w:p>
          <w:p w14:paraId="1E926636" w14:textId="77777777" w:rsidR="003D08F4" w:rsidRPr="00B2323E" w:rsidRDefault="003D08F4" w:rsidP="00C61B4E">
            <w:pPr>
              <w:rPr>
                <w:b/>
                <w:i/>
                <w:sz w:val="24"/>
                <w:szCs w:val="24"/>
              </w:rPr>
            </w:pPr>
            <w:r w:rsidRPr="00B2323E">
              <w:rPr>
                <w:b/>
                <w:i/>
                <w:sz w:val="24"/>
                <w:szCs w:val="24"/>
              </w:rPr>
              <w:t>Failed in Local Gov’t Committee.</w:t>
            </w:r>
          </w:p>
        </w:tc>
      </w:tr>
      <w:tr w:rsidR="003D08F4" w:rsidRPr="00CA07B5" w14:paraId="6458A384" w14:textId="77777777" w:rsidTr="007D0CAA">
        <w:trPr>
          <w:cantSplit/>
        </w:trPr>
        <w:tc>
          <w:tcPr>
            <w:tcW w:w="1516" w:type="dxa"/>
            <w:shd w:val="clear" w:color="auto" w:fill="auto"/>
          </w:tcPr>
          <w:p w14:paraId="3D0AE553" w14:textId="77777777" w:rsidR="003D08F4" w:rsidRPr="00CC628A" w:rsidRDefault="003D08F4">
            <w:pPr>
              <w:rPr>
                <w:b/>
                <w:sz w:val="24"/>
                <w:szCs w:val="24"/>
              </w:rPr>
            </w:pPr>
            <w:r w:rsidRPr="00CC628A">
              <w:rPr>
                <w:b/>
                <w:sz w:val="24"/>
                <w:szCs w:val="24"/>
              </w:rPr>
              <w:t>SB 828</w:t>
            </w:r>
          </w:p>
        </w:tc>
        <w:tc>
          <w:tcPr>
            <w:tcW w:w="1838" w:type="dxa"/>
            <w:shd w:val="clear" w:color="auto" w:fill="auto"/>
          </w:tcPr>
          <w:p w14:paraId="660C71B3" w14:textId="77777777" w:rsidR="003D08F4" w:rsidRPr="00CA07B5" w:rsidRDefault="003D08F4">
            <w:pPr>
              <w:rPr>
                <w:sz w:val="24"/>
                <w:szCs w:val="24"/>
              </w:rPr>
            </w:pPr>
            <w:r>
              <w:rPr>
                <w:sz w:val="24"/>
                <w:szCs w:val="24"/>
              </w:rPr>
              <w:t>Wiener</w:t>
            </w:r>
          </w:p>
        </w:tc>
        <w:tc>
          <w:tcPr>
            <w:tcW w:w="3754" w:type="dxa"/>
            <w:shd w:val="clear" w:color="auto" w:fill="auto"/>
          </w:tcPr>
          <w:p w14:paraId="0672C3FC" w14:textId="77777777" w:rsidR="003D08F4" w:rsidRPr="00CC628A" w:rsidRDefault="003D08F4">
            <w:pPr>
              <w:rPr>
                <w:b/>
                <w:sz w:val="24"/>
                <w:szCs w:val="24"/>
              </w:rPr>
            </w:pPr>
            <w:r w:rsidRPr="00CC628A">
              <w:rPr>
                <w:b/>
                <w:sz w:val="24"/>
                <w:szCs w:val="24"/>
              </w:rPr>
              <w:t>RHNA Requirements</w:t>
            </w:r>
          </w:p>
        </w:tc>
        <w:tc>
          <w:tcPr>
            <w:tcW w:w="4752" w:type="dxa"/>
            <w:shd w:val="clear" w:color="auto" w:fill="auto"/>
          </w:tcPr>
          <w:p w14:paraId="7BD559DC" w14:textId="07FCC8A3" w:rsidR="003D08F4" w:rsidRPr="00CA07B5" w:rsidRDefault="003D08F4" w:rsidP="0088618A">
            <w:pPr>
              <w:rPr>
                <w:sz w:val="24"/>
                <w:szCs w:val="24"/>
              </w:rPr>
            </w:pPr>
            <w:r>
              <w:rPr>
                <w:sz w:val="24"/>
                <w:szCs w:val="24"/>
              </w:rPr>
              <w:t xml:space="preserve">Requires identification of sites for 125% of RHNA if inventory of suitable sites doesn’t accommodate 100% of RHNA.  Requires that 100% of sites be zoned for multifamily.  Requires RHNA to add for each City the unmet need from prior period.   </w:t>
            </w:r>
            <w:r w:rsidR="0088618A">
              <w:rPr>
                <w:sz w:val="24"/>
                <w:szCs w:val="24"/>
              </w:rPr>
              <w:t>Appears to e</w:t>
            </w:r>
            <w:r>
              <w:rPr>
                <w:sz w:val="24"/>
                <w:szCs w:val="24"/>
              </w:rPr>
              <w:t>liminate Mullin densities</w:t>
            </w:r>
            <w:r w:rsidR="0088618A">
              <w:rPr>
                <w:sz w:val="24"/>
                <w:szCs w:val="24"/>
              </w:rPr>
              <w:t>, which set minimum density for sites to be considered suitable for affordable housing.</w:t>
            </w:r>
          </w:p>
        </w:tc>
        <w:tc>
          <w:tcPr>
            <w:tcW w:w="2715" w:type="dxa"/>
            <w:shd w:val="clear" w:color="auto" w:fill="auto"/>
          </w:tcPr>
          <w:p w14:paraId="42E5396B" w14:textId="77777777" w:rsidR="003D08F4" w:rsidRDefault="003D08F4">
            <w:pPr>
              <w:rPr>
                <w:sz w:val="24"/>
                <w:szCs w:val="24"/>
              </w:rPr>
            </w:pPr>
            <w:r w:rsidRPr="00F5631A">
              <w:rPr>
                <w:b/>
                <w:sz w:val="24"/>
                <w:szCs w:val="24"/>
              </w:rPr>
              <w:t>Watch</w:t>
            </w:r>
          </w:p>
          <w:p w14:paraId="6ED8984F" w14:textId="77777777" w:rsidR="003D08F4" w:rsidRDefault="003D08F4">
            <w:pPr>
              <w:rPr>
                <w:sz w:val="24"/>
                <w:szCs w:val="24"/>
              </w:rPr>
            </w:pPr>
          </w:p>
          <w:p w14:paraId="0657F1C2" w14:textId="77777777" w:rsidR="003D08F4" w:rsidRDefault="003D08F4">
            <w:pPr>
              <w:rPr>
                <w:sz w:val="24"/>
                <w:szCs w:val="24"/>
              </w:rPr>
            </w:pPr>
            <w:r>
              <w:rPr>
                <w:sz w:val="24"/>
                <w:szCs w:val="24"/>
              </w:rPr>
              <w:t>Passed T&amp;H Committee.</w:t>
            </w:r>
          </w:p>
          <w:p w14:paraId="76E2580B" w14:textId="77777777" w:rsidR="003D08F4" w:rsidRPr="001359A2" w:rsidRDefault="003D08F4">
            <w:pPr>
              <w:rPr>
                <w:sz w:val="24"/>
                <w:szCs w:val="24"/>
              </w:rPr>
            </w:pPr>
            <w:r>
              <w:rPr>
                <w:sz w:val="24"/>
                <w:szCs w:val="24"/>
              </w:rPr>
              <w:t xml:space="preserve">Referred to </w:t>
            </w:r>
            <w:proofErr w:type="spellStart"/>
            <w:r>
              <w:rPr>
                <w:sz w:val="24"/>
                <w:szCs w:val="24"/>
              </w:rPr>
              <w:t>Approps</w:t>
            </w:r>
            <w:proofErr w:type="spellEnd"/>
            <w:r>
              <w:rPr>
                <w:sz w:val="24"/>
                <w:szCs w:val="24"/>
              </w:rPr>
              <w:t>, placed on suspense.</w:t>
            </w:r>
          </w:p>
        </w:tc>
      </w:tr>
      <w:tr w:rsidR="003D08F4" w:rsidRPr="00CA07B5" w14:paraId="35B72BA2" w14:textId="77777777" w:rsidTr="00892ECC">
        <w:trPr>
          <w:cantSplit/>
        </w:trPr>
        <w:tc>
          <w:tcPr>
            <w:tcW w:w="1516" w:type="dxa"/>
          </w:tcPr>
          <w:p w14:paraId="3785F32B" w14:textId="77777777" w:rsidR="003D08F4" w:rsidRPr="00CC628A" w:rsidRDefault="003D08F4" w:rsidP="00362E32">
            <w:pPr>
              <w:rPr>
                <w:b/>
                <w:sz w:val="24"/>
                <w:szCs w:val="24"/>
              </w:rPr>
            </w:pPr>
            <w:r w:rsidRPr="00CC628A">
              <w:rPr>
                <w:b/>
                <w:sz w:val="24"/>
                <w:szCs w:val="24"/>
              </w:rPr>
              <w:t>SB 912</w:t>
            </w:r>
          </w:p>
        </w:tc>
        <w:tc>
          <w:tcPr>
            <w:tcW w:w="1838" w:type="dxa"/>
          </w:tcPr>
          <w:p w14:paraId="28CE87E6" w14:textId="77777777" w:rsidR="003D08F4" w:rsidRDefault="003D08F4" w:rsidP="00362E32">
            <w:pPr>
              <w:rPr>
                <w:sz w:val="24"/>
                <w:szCs w:val="24"/>
              </w:rPr>
            </w:pPr>
            <w:r>
              <w:rPr>
                <w:sz w:val="24"/>
                <w:szCs w:val="24"/>
              </w:rPr>
              <w:t>Beall/Skinner</w:t>
            </w:r>
          </w:p>
        </w:tc>
        <w:tc>
          <w:tcPr>
            <w:tcW w:w="3754" w:type="dxa"/>
          </w:tcPr>
          <w:p w14:paraId="16403CC7" w14:textId="77777777" w:rsidR="003D08F4" w:rsidRPr="00CC628A" w:rsidRDefault="003D08F4" w:rsidP="00362E32">
            <w:pPr>
              <w:rPr>
                <w:b/>
                <w:sz w:val="24"/>
                <w:szCs w:val="24"/>
              </w:rPr>
            </w:pPr>
            <w:r w:rsidRPr="00CC628A">
              <w:rPr>
                <w:b/>
                <w:sz w:val="24"/>
                <w:szCs w:val="24"/>
              </w:rPr>
              <w:t>Budget set-aside for homelessness</w:t>
            </w:r>
          </w:p>
        </w:tc>
        <w:tc>
          <w:tcPr>
            <w:tcW w:w="4752" w:type="dxa"/>
          </w:tcPr>
          <w:p w14:paraId="396856F1" w14:textId="77777777" w:rsidR="003D08F4" w:rsidRDefault="003D08F4" w:rsidP="00362E32">
            <w:pPr>
              <w:rPr>
                <w:sz w:val="24"/>
                <w:szCs w:val="24"/>
              </w:rPr>
            </w:pPr>
            <w:r>
              <w:rPr>
                <w:sz w:val="24"/>
                <w:szCs w:val="24"/>
              </w:rPr>
              <w:t>Sets aside $2 Billion from current budget surplus to provide $1 billion for permanent housing (MHP program) and $1 Billion for homeless services.</w:t>
            </w:r>
          </w:p>
          <w:p w14:paraId="72DC1B50" w14:textId="77777777" w:rsidR="003D08F4" w:rsidRDefault="003D08F4" w:rsidP="00362E32">
            <w:pPr>
              <w:rPr>
                <w:sz w:val="24"/>
                <w:szCs w:val="24"/>
              </w:rPr>
            </w:pPr>
          </w:p>
          <w:p w14:paraId="79B8147E" w14:textId="77777777" w:rsidR="003D08F4" w:rsidRDefault="003D08F4" w:rsidP="00362E32">
            <w:pPr>
              <w:rPr>
                <w:sz w:val="24"/>
                <w:szCs w:val="24"/>
              </w:rPr>
            </w:pPr>
            <w:r>
              <w:rPr>
                <w:sz w:val="24"/>
                <w:szCs w:val="24"/>
              </w:rPr>
              <w:t>Governor has proposed a much smaller amount.</w:t>
            </w:r>
          </w:p>
          <w:p w14:paraId="25F70DED" w14:textId="77777777" w:rsidR="00F004E5" w:rsidRDefault="00F004E5" w:rsidP="00362E32">
            <w:pPr>
              <w:rPr>
                <w:sz w:val="24"/>
                <w:szCs w:val="24"/>
              </w:rPr>
            </w:pPr>
          </w:p>
          <w:p w14:paraId="0110BC02" w14:textId="11DE0329" w:rsidR="00F004E5" w:rsidRPr="00F004E5" w:rsidRDefault="00F004E5" w:rsidP="00362E32">
            <w:pPr>
              <w:rPr>
                <w:b/>
                <w:sz w:val="24"/>
                <w:szCs w:val="24"/>
              </w:rPr>
            </w:pPr>
            <w:r w:rsidRPr="00F004E5">
              <w:rPr>
                <w:b/>
                <w:sz w:val="24"/>
                <w:szCs w:val="24"/>
              </w:rPr>
              <w:t>Unclear if this is superseded by announcement on 5/17 that Skinner, Beall and Atkins are proposing $5 Billion over 4 years for housing and homelessness.</w:t>
            </w:r>
          </w:p>
        </w:tc>
        <w:tc>
          <w:tcPr>
            <w:tcW w:w="2715" w:type="dxa"/>
          </w:tcPr>
          <w:p w14:paraId="7A095A96" w14:textId="77777777" w:rsidR="003D08F4" w:rsidRDefault="003D08F4" w:rsidP="00362E32">
            <w:pPr>
              <w:rPr>
                <w:b/>
                <w:sz w:val="24"/>
                <w:szCs w:val="24"/>
              </w:rPr>
            </w:pPr>
            <w:r>
              <w:rPr>
                <w:b/>
                <w:sz w:val="24"/>
                <w:szCs w:val="24"/>
              </w:rPr>
              <w:t>Support</w:t>
            </w:r>
          </w:p>
          <w:p w14:paraId="53E51FBB" w14:textId="77777777" w:rsidR="003D08F4" w:rsidRPr="003D08F4" w:rsidRDefault="003D08F4" w:rsidP="00362E32">
            <w:pPr>
              <w:rPr>
                <w:sz w:val="24"/>
                <w:szCs w:val="24"/>
              </w:rPr>
            </w:pPr>
          </w:p>
          <w:p w14:paraId="17FF3C40" w14:textId="77777777" w:rsidR="003D08F4" w:rsidRPr="000979CD" w:rsidRDefault="003D08F4" w:rsidP="00362E32">
            <w:pPr>
              <w:rPr>
                <w:b/>
                <w:sz w:val="24"/>
                <w:szCs w:val="24"/>
              </w:rPr>
            </w:pPr>
            <w:r w:rsidRPr="003D08F4">
              <w:rPr>
                <w:sz w:val="24"/>
                <w:szCs w:val="24"/>
              </w:rPr>
              <w:t xml:space="preserve">Passed </w:t>
            </w:r>
            <w:proofErr w:type="spellStart"/>
            <w:r w:rsidRPr="003D08F4">
              <w:rPr>
                <w:sz w:val="24"/>
                <w:szCs w:val="24"/>
              </w:rPr>
              <w:t>Transp</w:t>
            </w:r>
            <w:proofErr w:type="spellEnd"/>
            <w:r w:rsidRPr="003D08F4">
              <w:rPr>
                <w:sz w:val="24"/>
                <w:szCs w:val="24"/>
              </w:rPr>
              <w:t xml:space="preserve"> &amp; </w:t>
            </w:r>
            <w:proofErr w:type="spellStart"/>
            <w:r w:rsidRPr="003D08F4">
              <w:rPr>
                <w:sz w:val="24"/>
                <w:szCs w:val="24"/>
              </w:rPr>
              <w:t>Hsg</w:t>
            </w:r>
            <w:proofErr w:type="spellEnd"/>
            <w:r w:rsidRPr="003D08F4">
              <w:rPr>
                <w:sz w:val="24"/>
                <w:szCs w:val="24"/>
              </w:rPr>
              <w:t xml:space="preserve">.  Referred to </w:t>
            </w:r>
            <w:proofErr w:type="spellStart"/>
            <w:r w:rsidRPr="003D08F4">
              <w:rPr>
                <w:sz w:val="24"/>
                <w:szCs w:val="24"/>
              </w:rPr>
              <w:t>Approps</w:t>
            </w:r>
            <w:proofErr w:type="spellEnd"/>
            <w:r w:rsidRPr="003D08F4">
              <w:rPr>
                <w:sz w:val="24"/>
                <w:szCs w:val="24"/>
              </w:rPr>
              <w:t>.  On suspense.</w:t>
            </w:r>
          </w:p>
        </w:tc>
      </w:tr>
    </w:tbl>
    <w:p w14:paraId="50500536" w14:textId="77777777" w:rsidR="00496659" w:rsidRPr="00496659" w:rsidRDefault="00496659" w:rsidP="00D91C0A">
      <w:pPr>
        <w:rPr>
          <w:b/>
          <w:sz w:val="24"/>
          <w:szCs w:val="24"/>
        </w:rPr>
      </w:pPr>
      <w:bookmarkStart w:id="0" w:name="_GoBack"/>
      <w:bookmarkEnd w:id="0"/>
    </w:p>
    <w:sectPr w:rsidR="00496659" w:rsidRPr="00496659" w:rsidSect="00311010">
      <w:footerReference w:type="default" r:id="rId7"/>
      <w:pgSz w:w="15840" w:h="12240" w:orient="landscape"/>
      <w:pgMar w:top="720" w:right="720" w:bottom="720" w:left="72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2B860" w14:textId="77777777" w:rsidR="00791A72" w:rsidRDefault="00791A72" w:rsidP="006121DE">
      <w:r>
        <w:separator/>
      </w:r>
    </w:p>
  </w:endnote>
  <w:endnote w:type="continuationSeparator" w:id="0">
    <w:p w14:paraId="583457F0" w14:textId="77777777" w:rsidR="00791A72" w:rsidRDefault="00791A72" w:rsidP="0061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750387"/>
      <w:docPartObj>
        <w:docPartGallery w:val="Page Numbers (Bottom of Page)"/>
        <w:docPartUnique/>
      </w:docPartObj>
    </w:sdtPr>
    <w:sdtEndPr>
      <w:rPr>
        <w:color w:val="7F7F7F" w:themeColor="background1" w:themeShade="7F"/>
        <w:spacing w:val="60"/>
      </w:rPr>
    </w:sdtEndPr>
    <w:sdtContent>
      <w:p w14:paraId="3D1B1B30" w14:textId="77777777" w:rsidR="00311010" w:rsidRDefault="00311010" w:rsidP="00311010">
        <w:pPr>
          <w:pStyle w:val="Footer"/>
          <w:pBdr>
            <w:top w:val="single" w:sz="4" w:space="0" w:color="D9D9D9" w:themeColor="background1" w:themeShade="D9"/>
          </w:pBdr>
          <w:jc w:val="right"/>
        </w:pPr>
        <w:r>
          <w:fldChar w:fldCharType="begin"/>
        </w:r>
        <w:r>
          <w:instrText xml:space="preserve"> PAGE   \* MERGEFORMAT </w:instrText>
        </w:r>
        <w:r>
          <w:fldChar w:fldCharType="separate"/>
        </w:r>
        <w:r w:rsidR="00F004E5">
          <w:rPr>
            <w:noProof/>
          </w:rPr>
          <w:t>4</w:t>
        </w:r>
        <w:r>
          <w:rPr>
            <w:noProof/>
          </w:rPr>
          <w:fldChar w:fldCharType="end"/>
        </w:r>
        <w:r>
          <w:t xml:space="preserve"> </w:t>
        </w:r>
      </w:p>
    </w:sdtContent>
  </w:sdt>
  <w:p w14:paraId="53EED388" w14:textId="77777777" w:rsidR="00311010" w:rsidRDefault="00311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83549" w14:textId="77777777" w:rsidR="00791A72" w:rsidRDefault="00791A72" w:rsidP="006121DE">
      <w:r>
        <w:separator/>
      </w:r>
    </w:p>
  </w:footnote>
  <w:footnote w:type="continuationSeparator" w:id="0">
    <w:p w14:paraId="717401B9" w14:textId="77777777" w:rsidR="00791A72" w:rsidRDefault="00791A72" w:rsidP="00612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59"/>
    <w:rsid w:val="00057655"/>
    <w:rsid w:val="00065BD0"/>
    <w:rsid w:val="00073D37"/>
    <w:rsid w:val="000979CD"/>
    <w:rsid w:val="000B51FC"/>
    <w:rsid w:val="00104449"/>
    <w:rsid w:val="00121FFA"/>
    <w:rsid w:val="001359A2"/>
    <w:rsid w:val="00137A7B"/>
    <w:rsid w:val="00156E8E"/>
    <w:rsid w:val="00167805"/>
    <w:rsid w:val="00172BD4"/>
    <w:rsid w:val="001945A9"/>
    <w:rsid w:val="001E43DD"/>
    <w:rsid w:val="00210564"/>
    <w:rsid w:val="002417CF"/>
    <w:rsid w:val="00266D64"/>
    <w:rsid w:val="00294DF7"/>
    <w:rsid w:val="0029520A"/>
    <w:rsid w:val="00311010"/>
    <w:rsid w:val="0031469F"/>
    <w:rsid w:val="00321406"/>
    <w:rsid w:val="003271BC"/>
    <w:rsid w:val="0033701D"/>
    <w:rsid w:val="003570B6"/>
    <w:rsid w:val="00362E32"/>
    <w:rsid w:val="00365A03"/>
    <w:rsid w:val="003707F9"/>
    <w:rsid w:val="00391A9F"/>
    <w:rsid w:val="003D08F4"/>
    <w:rsid w:val="004456BD"/>
    <w:rsid w:val="00486A62"/>
    <w:rsid w:val="00496659"/>
    <w:rsid w:val="004F75B4"/>
    <w:rsid w:val="005207ED"/>
    <w:rsid w:val="00553D6A"/>
    <w:rsid w:val="00574B49"/>
    <w:rsid w:val="00591622"/>
    <w:rsid w:val="005A5CED"/>
    <w:rsid w:val="005C7FD0"/>
    <w:rsid w:val="005D516A"/>
    <w:rsid w:val="006121DE"/>
    <w:rsid w:val="006349AE"/>
    <w:rsid w:val="00652C52"/>
    <w:rsid w:val="00682D22"/>
    <w:rsid w:val="006E3076"/>
    <w:rsid w:val="006F1825"/>
    <w:rsid w:val="00734B17"/>
    <w:rsid w:val="007903F9"/>
    <w:rsid w:val="007912A0"/>
    <w:rsid w:val="00791A72"/>
    <w:rsid w:val="00793FD8"/>
    <w:rsid w:val="007D0CAA"/>
    <w:rsid w:val="008365E1"/>
    <w:rsid w:val="0083755C"/>
    <w:rsid w:val="0088618A"/>
    <w:rsid w:val="00892ECC"/>
    <w:rsid w:val="00893B2F"/>
    <w:rsid w:val="008B1B68"/>
    <w:rsid w:val="008C4972"/>
    <w:rsid w:val="008D2B8E"/>
    <w:rsid w:val="008F25FD"/>
    <w:rsid w:val="0090505D"/>
    <w:rsid w:val="00906C54"/>
    <w:rsid w:val="009104ED"/>
    <w:rsid w:val="00910980"/>
    <w:rsid w:val="00990165"/>
    <w:rsid w:val="009B1B42"/>
    <w:rsid w:val="009E06E7"/>
    <w:rsid w:val="00A367B1"/>
    <w:rsid w:val="00A461AF"/>
    <w:rsid w:val="00A813A3"/>
    <w:rsid w:val="00A83E89"/>
    <w:rsid w:val="00AB4C87"/>
    <w:rsid w:val="00B016D7"/>
    <w:rsid w:val="00B13DA7"/>
    <w:rsid w:val="00B2323E"/>
    <w:rsid w:val="00B30315"/>
    <w:rsid w:val="00B449C3"/>
    <w:rsid w:val="00B54345"/>
    <w:rsid w:val="00BA3EFA"/>
    <w:rsid w:val="00BD2001"/>
    <w:rsid w:val="00BD5FDC"/>
    <w:rsid w:val="00BF26CB"/>
    <w:rsid w:val="00C461AD"/>
    <w:rsid w:val="00C61B4E"/>
    <w:rsid w:val="00C81426"/>
    <w:rsid w:val="00CA07B5"/>
    <w:rsid w:val="00CC628A"/>
    <w:rsid w:val="00CD214A"/>
    <w:rsid w:val="00D0357D"/>
    <w:rsid w:val="00D27016"/>
    <w:rsid w:val="00D64C6F"/>
    <w:rsid w:val="00D91C0A"/>
    <w:rsid w:val="00D9242A"/>
    <w:rsid w:val="00D97C77"/>
    <w:rsid w:val="00DD17C6"/>
    <w:rsid w:val="00DE1673"/>
    <w:rsid w:val="00DF05E9"/>
    <w:rsid w:val="00DF1CEF"/>
    <w:rsid w:val="00E14587"/>
    <w:rsid w:val="00E60CC1"/>
    <w:rsid w:val="00E66813"/>
    <w:rsid w:val="00E86DF5"/>
    <w:rsid w:val="00E92A99"/>
    <w:rsid w:val="00E93C62"/>
    <w:rsid w:val="00EC2F25"/>
    <w:rsid w:val="00EF4929"/>
    <w:rsid w:val="00F004E5"/>
    <w:rsid w:val="00F0754A"/>
    <w:rsid w:val="00F15463"/>
    <w:rsid w:val="00F532FE"/>
    <w:rsid w:val="00F5631A"/>
    <w:rsid w:val="00F57B6B"/>
    <w:rsid w:val="00F85E24"/>
    <w:rsid w:val="00F860A3"/>
    <w:rsid w:val="00F8703B"/>
    <w:rsid w:val="00F9549E"/>
    <w:rsid w:val="00FD51A6"/>
    <w:rsid w:val="00FE5934"/>
    <w:rsid w:val="00FF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B5C73"/>
  <w15:docId w15:val="{CBEA6BCB-95C4-48F1-A988-185CE824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1DE"/>
    <w:pPr>
      <w:tabs>
        <w:tab w:val="center" w:pos="4680"/>
        <w:tab w:val="right" w:pos="9360"/>
      </w:tabs>
    </w:pPr>
  </w:style>
  <w:style w:type="character" w:customStyle="1" w:styleId="HeaderChar">
    <w:name w:val="Header Char"/>
    <w:basedOn w:val="DefaultParagraphFont"/>
    <w:link w:val="Header"/>
    <w:uiPriority w:val="99"/>
    <w:rsid w:val="006121DE"/>
  </w:style>
  <w:style w:type="paragraph" w:styleId="Footer">
    <w:name w:val="footer"/>
    <w:basedOn w:val="Normal"/>
    <w:link w:val="FooterChar"/>
    <w:uiPriority w:val="99"/>
    <w:unhideWhenUsed/>
    <w:rsid w:val="006121DE"/>
    <w:pPr>
      <w:tabs>
        <w:tab w:val="center" w:pos="4680"/>
        <w:tab w:val="right" w:pos="9360"/>
      </w:tabs>
    </w:pPr>
  </w:style>
  <w:style w:type="character" w:customStyle="1" w:styleId="FooterChar">
    <w:name w:val="Footer Char"/>
    <w:basedOn w:val="DefaultParagraphFont"/>
    <w:link w:val="Footer"/>
    <w:uiPriority w:val="99"/>
    <w:rsid w:val="006121DE"/>
  </w:style>
  <w:style w:type="paragraph" w:styleId="BalloonText">
    <w:name w:val="Balloon Text"/>
    <w:basedOn w:val="Normal"/>
    <w:link w:val="BalloonTextChar"/>
    <w:uiPriority w:val="99"/>
    <w:semiHidden/>
    <w:unhideWhenUsed/>
    <w:rsid w:val="00311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010"/>
    <w:rPr>
      <w:rFonts w:ascii="Segoe UI" w:hAnsi="Segoe UI" w:cs="Segoe UI"/>
      <w:sz w:val="18"/>
      <w:szCs w:val="18"/>
    </w:rPr>
  </w:style>
  <w:style w:type="paragraph" w:customStyle="1" w:styleId="Default">
    <w:name w:val="Default"/>
    <w:rsid w:val="00CC628A"/>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FC7E8-F8C1-4B3A-B8FA-7D78A614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Levin</dc:creator>
  <cp:keywords/>
  <dc:description/>
  <cp:lastModifiedBy>Jeffrey Levin</cp:lastModifiedBy>
  <cp:revision>22</cp:revision>
  <cp:lastPrinted>2018-04-19T15:26:00Z</cp:lastPrinted>
  <dcterms:created xsi:type="dcterms:W3CDTF">2017-07-20T08:24:00Z</dcterms:created>
  <dcterms:modified xsi:type="dcterms:W3CDTF">2018-05-18T01:48:00Z</dcterms:modified>
</cp:coreProperties>
</file>